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FD1D" w14:textId="271241A9" w:rsidR="00132587" w:rsidRPr="00132587" w:rsidRDefault="00132587" w:rsidP="00132587">
      <w:pPr>
        <w:jc w:val="center"/>
      </w:pPr>
      <w:r w:rsidRPr="00132587">
        <w:rPr>
          <w:b/>
          <w:bCs/>
        </w:rPr>
        <w:t>L’</w:t>
      </w:r>
      <w:r w:rsidRPr="00132587">
        <w:rPr>
          <w:b/>
          <w:bCs/>
        </w:rPr>
        <w:t>intervento integrale</w:t>
      </w:r>
      <w:r>
        <w:rPr>
          <w:b/>
          <w:bCs/>
        </w:rPr>
        <w:t xml:space="preserve"> di </w:t>
      </w:r>
      <w:r w:rsidRPr="00132587">
        <w:rPr>
          <w:b/>
          <w:bCs/>
        </w:rPr>
        <w:t>Antonio Buonfiglio</w:t>
      </w:r>
    </w:p>
    <w:p w14:paraId="38F02471" w14:textId="77777777" w:rsidR="00132587" w:rsidRPr="00132587" w:rsidRDefault="00132587" w:rsidP="00132587">
      <w:r w:rsidRPr="00132587">
        <w:t xml:space="preserve">“Dal 20210, con il decreto 175, si invitano tutte le casse </w:t>
      </w:r>
      <w:proofErr w:type="spellStart"/>
      <w:r w:rsidRPr="00132587">
        <w:t>previenziali</w:t>
      </w:r>
      <w:proofErr w:type="spellEnd"/>
      <w:r w:rsidRPr="00132587">
        <w:t xml:space="preserve"> a smobilitare il proprio patrimonio immobiliare. Prima di oggi sono state effettuate dismissioni, da parte di altre casse, con </w:t>
      </w:r>
      <w:proofErr w:type="spellStart"/>
      <w:r w:rsidRPr="00132587">
        <w:t>minus</w:t>
      </w:r>
      <w:proofErr w:type="spellEnd"/>
      <w:r w:rsidRPr="00132587">
        <w:t xml:space="preserve"> valenza. Enasarco ha partecipato al bando del Comune di Roma per l’emergenza abitativa e la cassa ha partecipato, arrivando prima perché ha offerto 1040 immobili. </w:t>
      </w:r>
      <w:proofErr w:type="gramStart"/>
      <w:r w:rsidRPr="00132587">
        <w:t>Questo quindi</w:t>
      </w:r>
      <w:proofErr w:type="gramEnd"/>
      <w:r w:rsidRPr="00132587">
        <w:t xml:space="preserve"> è un rapporto istituzionale, ma questo accordo è stato subordinato in base alla stima dell’agenzia del Demanio, trovando, per la prima tranche, 357 appartamenti per 52 milioni, venduti e </w:t>
      </w:r>
      <w:r w:rsidRPr="00132587">
        <w:rPr>
          <w:b/>
          <w:bCs/>
        </w:rPr>
        <w:t>realizzando una plusvalenza di 17 milioni</w:t>
      </w:r>
      <w:r w:rsidRPr="00132587">
        <w:t xml:space="preserve">. Rispetto alle precedenti dismissioni c’è una crescita del 20%, essendo i valori OMI, non c’è alcun problema di </w:t>
      </w:r>
      <w:proofErr w:type="spellStart"/>
      <w:r w:rsidRPr="00132587">
        <w:t>deupaperamento</w:t>
      </w:r>
      <w:proofErr w:type="spellEnd"/>
      <w:r w:rsidRPr="00132587">
        <w:t>. Così Enasarco ha realizzato la sua missione, reinvestendo in operazioni che consentono la sostenibilità dell’ente, come si evince dai bilanci ordinario e tecnico”.</w:t>
      </w:r>
    </w:p>
    <w:p w14:paraId="6FB2D3E5" w14:textId="77777777" w:rsidR="00132587" w:rsidRPr="00132587" w:rsidRDefault="00132587" w:rsidP="00132587">
      <w:r w:rsidRPr="00132587">
        <w:rPr>
          <w:b/>
          <w:bCs/>
        </w:rPr>
        <w:t xml:space="preserve">Così Antonio Buonfiglio, direttore generale di Enasarco, in occasione dell’audizione del presidente e di altri rappresentanti dell’Ente nazionale di assistenza degli agenti e rappresentanti di </w:t>
      </w:r>
      <w:proofErr w:type="gramStart"/>
      <w:r w:rsidRPr="00132587">
        <w:rPr>
          <w:b/>
          <w:bCs/>
        </w:rPr>
        <w:t>commercio  nell’ambito</w:t>
      </w:r>
      <w:proofErr w:type="gramEnd"/>
      <w:r w:rsidRPr="00132587">
        <w:rPr>
          <w:b/>
          <w:bCs/>
        </w:rPr>
        <w:t xml:space="preserve"> dell’indagine conoscitiva sull’equilibrio e i risultati delle gestioni del settore previdenziale allargato, con particolare riguardo alla transizione demografica, all’evoluzione del mondo delle professioni e delle tendenze del welfare integrativo.</w:t>
      </w:r>
    </w:p>
    <w:p w14:paraId="3A77F805" w14:textId="77777777" w:rsidR="00132587" w:rsidRPr="00132587" w:rsidRDefault="00132587" w:rsidP="00132587">
      <w:r w:rsidRPr="00132587">
        <w:t>“Tutti coloro che abitavano le case Enasarco hanno avuto il diritto di prelazione, dal 2011 al 2023, a prezzi favorevoli. Dopo questo momento, gli immobili rimasti e andati al Comune prevedono già una parte locata a questo ente locale. Prima di mettere a disposizione quelle libere il Comune ha acquisito queste, mentre le altre erano libere da anni. Le uniche richieste ricevute erano di fondi speculativi, comunque rigettati.</w:t>
      </w:r>
    </w:p>
    <w:p w14:paraId="2772AD29" w14:textId="77777777" w:rsidR="00132587" w:rsidRPr="00132587" w:rsidRDefault="00132587" w:rsidP="00132587">
      <w:r w:rsidRPr="00132587">
        <w:t>Enasarco non ha violato i diritti di nessuno, vendendo ai prezzi di mercato e l’ente non ha mai ricevuto richieste da chi le occupava. L’impegno di spesa è per 254 milioni di euro da parte di Roma Capitale, che Enasarco verificherà tramite la perizia di volta in volta. Se al prossimo rogito il valore dovesse, ad esempio, essere dimezzato, l’ente non dovrà obbligatoriamente vendere. Non si tratta di una vendita a blocco o a pacchetto, le valutazioni del Demanio sono per singolo appartamento.</w:t>
      </w:r>
    </w:p>
    <w:p w14:paraId="7569D376" w14:textId="77777777" w:rsidR="00132587" w:rsidRPr="00132587" w:rsidRDefault="00132587" w:rsidP="00132587">
      <w:r w:rsidRPr="00132587">
        <w:t xml:space="preserve">Enasarco ha offerto in prelazione a chi era già residente, partecipando solo alla gara del Comune di Roma, facendo esaltare Enasarco come attore sociale, facendo comunque i propri interessi. L’ente, dal punto di vista dell’investimento e del disinvestimento, ha fatto un’unica operazione con l’acquisizione di Banco BPM a dicembre 2022, </w:t>
      </w:r>
      <w:r w:rsidRPr="00132587">
        <w:rPr>
          <w:b/>
          <w:bCs/>
        </w:rPr>
        <w:t>con un valore del titolo acquistato che oggi si è quadruplicato</w:t>
      </w:r>
      <w:r w:rsidRPr="00132587">
        <w:t>.</w:t>
      </w:r>
    </w:p>
    <w:p w14:paraId="77E24056" w14:textId="77777777" w:rsidR="00132587" w:rsidRPr="00132587" w:rsidRDefault="00132587" w:rsidP="00132587">
      <w:r w:rsidRPr="00132587">
        <w:t>Se l’operazione con il Comune sarà completata, 1040 case, il patrimonio singolo oggi rimarrebbe con poco più di 3mila immobili, al 97% all’interno di Roma.</w:t>
      </w:r>
    </w:p>
    <w:p w14:paraId="3DCB27CA" w14:textId="77777777" w:rsidR="00132587" w:rsidRPr="00132587" w:rsidRDefault="00132587" w:rsidP="00132587">
      <w:r w:rsidRPr="00132587">
        <w:t xml:space="preserve">Nell’ultimo bilancio tecnico sono stati tracciati quelli che possiamo definire i </w:t>
      </w:r>
      <w:r w:rsidRPr="00132587">
        <w:rPr>
          <w:b/>
          <w:bCs/>
        </w:rPr>
        <w:t>silenti tecnici</w:t>
      </w:r>
      <w:r w:rsidRPr="00132587">
        <w:t xml:space="preserve">. Le persone che possono essere così considerate </w:t>
      </w:r>
      <w:proofErr w:type="gramStart"/>
      <w:r w:rsidRPr="00132587">
        <w:t>non sono soggetti</w:t>
      </w:r>
      <w:proofErr w:type="gramEnd"/>
      <w:r w:rsidRPr="00132587">
        <w:t xml:space="preserve"> in possesso dei requisiti minimi, quinti tecnicamente non soggetti al diritto soggettivo alla pensione, sono 191mila. A differenze degli altri soggetti della previdenza, per ragioni di equità sociale, dà a tutti i silenti una tutela sanitaria che vale circa 1000 euro, facendosi carico della tutela. Per tutti gli iscritti dal 2012 in poi, qualora abbiano almeno 5 anni in una qualsiasi gestione previdenziale, sono titolari di questo diritto.</w:t>
      </w:r>
    </w:p>
    <w:p w14:paraId="35C256A9" w14:textId="77777777" w:rsidR="00132587" w:rsidRPr="00132587" w:rsidRDefault="00132587" w:rsidP="00132587">
      <w:r w:rsidRPr="00132587">
        <w:t xml:space="preserve">Le richieste di rendita contributiva negli ultimi 2 anni sono state 367, tutte accolte. Tutti gli iscritti Enasarco sono iscritti all’INPS e tutti i pensionati sono titolari di una pensione di primo pilastro, ricordo quindi che l’Enasarco è una pensione integrativa. Il 20% delle pensioni erogate sono reversibili e l’1% di invalidità. Negli ultimi anni abbiamo pensato di aumentare le polizze sanitarie e </w:t>
      </w:r>
      <w:proofErr w:type="spellStart"/>
      <w:r w:rsidRPr="00132587">
        <w:t>inizieramo</w:t>
      </w:r>
      <w:proofErr w:type="spellEnd"/>
      <w:r w:rsidRPr="00132587">
        <w:t xml:space="preserve"> a offrire una polizza LTC, facendoci carico e allineando la prestazione previdenziale con quella integrativa.</w:t>
      </w:r>
    </w:p>
    <w:p w14:paraId="7B8368E8" w14:textId="77777777" w:rsidR="00132587" w:rsidRPr="00132587" w:rsidRDefault="00132587" w:rsidP="00132587">
      <w:r w:rsidRPr="00132587">
        <w:rPr>
          <w:b/>
          <w:bCs/>
        </w:rPr>
        <w:t xml:space="preserve">Le pensioni sono 142mila e crescono coloro che ne hanno diritto. Almeno per i prossimi </w:t>
      </w:r>
      <w:proofErr w:type="gramStart"/>
      <w:r w:rsidRPr="00132587">
        <w:rPr>
          <w:b/>
          <w:bCs/>
        </w:rPr>
        <w:t>6</w:t>
      </w:r>
      <w:proofErr w:type="gramEnd"/>
      <w:r w:rsidRPr="00132587">
        <w:rPr>
          <w:b/>
          <w:bCs/>
        </w:rPr>
        <w:t xml:space="preserve"> anni il differenziale tra i contributi incassati e quelli erogati sarà in positivo, ma valutiamo altri tipi di investimenti remunerativi</w:t>
      </w:r>
      <w:r w:rsidRPr="00132587">
        <w:t>. L’inverno demografico non colpisce solo gli agenti di commercio, ma qualsiasi ente previdenziale e su questo serve un approfondimento, pensando a quanto del budget dello Stato italiano viene speso in questo settore e in quello previdenziale in generale.</w:t>
      </w:r>
    </w:p>
    <w:p w14:paraId="7B5C9279" w14:textId="77777777" w:rsidR="00132587" w:rsidRPr="00132587" w:rsidRDefault="00132587" w:rsidP="00132587">
      <w:r w:rsidRPr="00132587">
        <w:lastRenderedPageBreak/>
        <w:t>Noi siamo un fondo complementare che subisce concorrenza previdenziale da chi la sua previdenza la fa con assicurazioni private. Chi fa i complementari paga il capital gain, i nostri pagano tasse come se fossero lavoratori dipendenti.</w:t>
      </w:r>
    </w:p>
    <w:p w14:paraId="296C3873" w14:textId="77777777" w:rsidR="00132587" w:rsidRPr="00132587" w:rsidRDefault="00132587" w:rsidP="00132587">
      <w:r w:rsidRPr="00132587">
        <w:t>La nostra pensione integra, con un 30% in più, quella dell’INPS, con una media di 9568 euro nel corso del 2025, pensione di secondo pilastro. Andrebbe tassata come una previdenza integrativa e non come rendita da lavoro. Per quanto riguarda gli immobili, quelli detenuti dalla fondazione, ce ne sono circa 50 occupati, anche qui, nonostante la legge sullo sfratto immediato, questa non viene sempre applicata dai Commissariati di zona.</w:t>
      </w:r>
    </w:p>
    <w:p w14:paraId="37BE5D6F" w14:textId="77777777" w:rsidR="00132587" w:rsidRPr="00132587" w:rsidRDefault="00132587" w:rsidP="00132587">
      <w:r w:rsidRPr="00132587">
        <w:t>Sono 1500 le persone che hanno voluto versare i contributi volontari per evitare il fenomeno dei silenti: a chi mancano 3 anni o pochi trimestri c’è la possibilità di versare il minimo. In assenza dei requisiti minimo l’Enasarco non riconosce la pensione, mentre la rendita contributiva è una soluzione che la legge consente per riconoscere qualcosa a chi ha versato un minimo, 5 anni nel sistema previdenziale italiano</w:t>
      </w:r>
    </w:p>
    <w:p w14:paraId="70E8D031"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87"/>
    <w:rsid w:val="000C5267"/>
    <w:rsid w:val="00132587"/>
    <w:rsid w:val="00860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9B03"/>
  <w15:chartTrackingRefBased/>
  <w15:docId w15:val="{7299111B-2DA9-4CC5-BD63-3815426E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2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2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258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258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258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258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258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258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258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25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25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25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25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25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25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25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25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25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258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25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258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2587"/>
    <w:rPr>
      <w:i/>
      <w:iCs/>
      <w:color w:val="404040" w:themeColor="text1" w:themeTint="BF"/>
    </w:rPr>
  </w:style>
  <w:style w:type="paragraph" w:styleId="Paragrafoelenco">
    <w:name w:val="List Paragraph"/>
    <w:basedOn w:val="Normale"/>
    <w:uiPriority w:val="34"/>
    <w:qFormat/>
    <w:rsid w:val="00132587"/>
    <w:pPr>
      <w:ind w:left="720"/>
      <w:contextualSpacing/>
    </w:pPr>
  </w:style>
  <w:style w:type="character" w:styleId="Enfasiintensa">
    <w:name w:val="Intense Emphasis"/>
    <w:basedOn w:val="Carpredefinitoparagrafo"/>
    <w:uiPriority w:val="21"/>
    <w:qFormat/>
    <w:rsid w:val="00132587"/>
    <w:rPr>
      <w:i/>
      <w:iCs/>
      <w:color w:val="0F4761" w:themeColor="accent1" w:themeShade="BF"/>
    </w:rPr>
  </w:style>
  <w:style w:type="paragraph" w:styleId="Citazioneintensa">
    <w:name w:val="Intense Quote"/>
    <w:basedOn w:val="Normale"/>
    <w:next w:val="Normale"/>
    <w:link w:val="CitazioneintensaCarattere"/>
    <w:uiPriority w:val="30"/>
    <w:qFormat/>
    <w:rsid w:val="0013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2587"/>
    <w:rPr>
      <w:i/>
      <w:iCs/>
      <w:color w:val="0F4761" w:themeColor="accent1" w:themeShade="BF"/>
    </w:rPr>
  </w:style>
  <w:style w:type="character" w:styleId="Riferimentointenso">
    <w:name w:val="Intense Reference"/>
    <w:basedOn w:val="Carpredefinitoparagrafo"/>
    <w:uiPriority w:val="32"/>
    <w:qFormat/>
    <w:rsid w:val="001325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4749</Characters>
  <Application>Microsoft Office Word</Application>
  <DocSecurity>0</DocSecurity>
  <Lines>60</Lines>
  <Paragraphs>15</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2026-02-12T15:58:00Z</dcterms:created>
  <dcterms:modified xsi:type="dcterms:W3CDTF">2026-02-12T15:59:00Z</dcterms:modified>
</cp:coreProperties>
</file>