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C25E" w14:textId="77777777" w:rsidR="001D0E3D" w:rsidRPr="00EB1CBD" w:rsidRDefault="001D0E3D" w:rsidP="001D0E3D">
      <w:pPr>
        <w:spacing w:line="360" w:lineRule="auto"/>
        <w:jc w:val="center"/>
      </w:pPr>
      <w:r w:rsidRPr="00EB1CBD">
        <w:rPr>
          <w:b/>
          <w:bCs/>
        </w:rPr>
        <w:t>IL NOTARIATO E L’EREDITA’ DIGITALE</w:t>
      </w:r>
    </w:p>
    <w:p w14:paraId="45968FD4" w14:textId="77777777" w:rsidR="001D0E3D" w:rsidRPr="00EB1CBD" w:rsidRDefault="001D0E3D" w:rsidP="001D0E3D">
      <w:pPr>
        <w:spacing w:line="360" w:lineRule="auto"/>
      </w:pPr>
      <w:r w:rsidRPr="00EB1CBD">
        <w:t xml:space="preserve">Per sensibilizzare e informare i cittadini sul tema, il Consiglio Nazionale del Notariato ha pubblicato sul sito </w:t>
      </w:r>
      <w:hyperlink r:id="rId4" w:tgtFrame="_blank" w:history="1">
        <w:r w:rsidRPr="00EB1CBD">
          <w:rPr>
            <w:rStyle w:val="Collegamentoipertestuale"/>
          </w:rPr>
          <w:t>www.notariato.it</w:t>
        </w:r>
      </w:hyperlink>
      <w:hyperlink r:id="rId5" w:tgtFrame="_blank" w:history="1">
        <w:r w:rsidRPr="00EB1CBD">
          <w:rPr>
            <w:rStyle w:val="Collegamentoipertestuale"/>
          </w:rPr>
          <w:t xml:space="preserve"> </w:t>
        </w:r>
      </w:hyperlink>
      <w:r w:rsidRPr="00EB1CBD">
        <w:t xml:space="preserve">un </w:t>
      </w:r>
      <w:r w:rsidRPr="00EB1CBD">
        <w:rPr>
          <w:b/>
          <w:bCs/>
        </w:rPr>
        <w:t xml:space="preserve">decalogo aggiornato </w:t>
      </w:r>
      <w:r w:rsidRPr="00EB1CBD">
        <w:t xml:space="preserve">che tiene conto delle più recenti novità normative, insieme alle linee guida dedicate alla categoria e allo </w:t>
      </w:r>
      <w:hyperlink r:id="rId6" w:tgtFrame="_blank" w:history="1">
        <w:r w:rsidRPr="00EB1CBD">
          <w:rPr>
            <w:rStyle w:val="Collegamentoipertestuale"/>
            <w:b/>
            <w:bCs/>
          </w:rPr>
          <w:t>Studio</w:t>
        </w:r>
      </w:hyperlink>
      <w:hyperlink r:id="rId7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8" w:tgtFrame="_blank" w:history="1">
        <w:r w:rsidRPr="00EB1CBD">
          <w:rPr>
            <w:rStyle w:val="Collegamentoipertestuale"/>
            <w:b/>
            <w:bCs/>
          </w:rPr>
          <w:t>n.</w:t>
        </w:r>
      </w:hyperlink>
      <w:hyperlink r:id="rId9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10" w:tgtFrame="_blank" w:history="1">
        <w:r w:rsidRPr="00EB1CBD">
          <w:rPr>
            <w:rStyle w:val="Collegamentoipertestuale"/>
            <w:b/>
            <w:bCs/>
          </w:rPr>
          <w:t>1_2023</w:t>
        </w:r>
      </w:hyperlink>
      <w:hyperlink r:id="rId11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12" w:tgtFrame="_blank" w:history="1">
        <w:r w:rsidRPr="00EB1CBD">
          <w:rPr>
            <w:rStyle w:val="Collegamentoipertestuale"/>
            <w:b/>
            <w:bCs/>
          </w:rPr>
          <w:t>DI</w:t>
        </w:r>
      </w:hyperlink>
      <w:hyperlink r:id="rId13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14" w:tgtFrame="_blank" w:history="1">
        <w:r w:rsidRPr="00EB1CBD">
          <w:rPr>
            <w:rStyle w:val="Collegamentoipertestuale"/>
            <w:b/>
            <w:bCs/>
          </w:rPr>
          <w:t>“</w:t>
        </w:r>
      </w:hyperlink>
      <w:hyperlink r:id="rId15" w:tgtFrame="_blank" w:history="1">
        <w:r w:rsidRPr="00EB1CBD">
          <w:rPr>
            <w:rStyle w:val="Collegamentoipertestuale"/>
            <w:b/>
            <w:bCs/>
          </w:rPr>
          <w:t>Eredità</w:t>
        </w:r>
      </w:hyperlink>
      <w:hyperlink r:id="rId16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17" w:tgtFrame="_blank" w:history="1">
        <w:r w:rsidRPr="00EB1CBD">
          <w:rPr>
            <w:rStyle w:val="Collegamentoipertestuale"/>
            <w:b/>
            <w:bCs/>
          </w:rPr>
          <w:t>digitale:</w:t>
        </w:r>
      </w:hyperlink>
      <w:hyperlink r:id="rId18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19" w:tgtFrame="_blank" w:history="1">
        <w:r w:rsidRPr="00EB1CBD">
          <w:rPr>
            <w:rStyle w:val="Collegamentoipertestuale"/>
            <w:b/>
            <w:bCs/>
          </w:rPr>
          <w:t>inquadramento</w:t>
        </w:r>
      </w:hyperlink>
      <w:hyperlink r:id="rId20" w:tgtFrame="_blank" w:history="1">
        <w:r w:rsidRPr="00EB1CBD">
          <w:rPr>
            <w:rStyle w:val="Collegamentoipertestuale"/>
            <w:b/>
            <w:bCs/>
          </w:rPr>
          <w:t xml:space="preserve"> </w:t>
        </w:r>
      </w:hyperlink>
      <w:hyperlink r:id="rId21" w:tgtFrame="_blank" w:history="1">
        <w:r w:rsidRPr="00EB1CBD">
          <w:rPr>
            <w:rStyle w:val="Collegamentoipertestuale"/>
            <w:b/>
            <w:bCs/>
          </w:rPr>
          <w:t>generale</w:t>
        </w:r>
      </w:hyperlink>
      <w:hyperlink r:id="rId22" w:tgtFrame="_blank" w:history="1">
        <w:r w:rsidRPr="00EB1CBD">
          <w:rPr>
            <w:rStyle w:val="Collegamentoipertestuale"/>
            <w:b/>
            <w:bCs/>
          </w:rPr>
          <w:t>”</w:t>
        </w:r>
      </w:hyperlink>
      <w:r w:rsidRPr="00EB1CBD">
        <w:t>.</w:t>
      </w:r>
    </w:p>
    <w:p w14:paraId="3C187F46" w14:textId="77777777" w:rsidR="001D0E3D" w:rsidRPr="00EB1CBD" w:rsidRDefault="001D0E3D" w:rsidP="001D0E3D">
      <w:pPr>
        <w:spacing w:line="360" w:lineRule="auto"/>
      </w:pPr>
      <w:r w:rsidRPr="00EB1CBD">
        <w:t xml:space="preserve">Il </w:t>
      </w:r>
      <w:r w:rsidRPr="00EB1CBD">
        <w:rPr>
          <w:b/>
          <w:bCs/>
        </w:rPr>
        <w:t xml:space="preserve">quadro giuridico in materia di eredità digitale </w:t>
      </w:r>
      <w:r w:rsidRPr="00EB1CBD">
        <w:t>continua ad essere incerto e in costante evoluzione: attualmente, in Italia così come in Europa, non esiste una legislazione specifica. È importante, quindi, pianificare il passaggio dell’eredità digitale, anche perché molto spesso le società che danno accesso a servizi, spazi e piattaforme sulla rete internet hanno la propria sede al di fuori del territorio dello Stato e dell’Europa.</w:t>
      </w:r>
    </w:p>
    <w:p w14:paraId="12D7704E" w14:textId="77777777" w:rsidR="001D0E3D" w:rsidRPr="00EB1CBD" w:rsidRDefault="001D0E3D" w:rsidP="001D0E3D">
      <w:pPr>
        <w:spacing w:line="360" w:lineRule="auto"/>
      </w:pPr>
      <w:r w:rsidRPr="00EB1CBD">
        <w:t>Ciò significa che, in assenza di disposizioni relative all’eredità digitale, si rischia di incorrere in costose e imprevedibili controversie internazionali.</w:t>
      </w:r>
    </w:p>
    <w:p w14:paraId="6DFC2BF0" w14:textId="77777777" w:rsidR="001D0E3D" w:rsidRPr="00EB1CBD" w:rsidRDefault="001D0E3D" w:rsidP="001D0E3D">
      <w:pPr>
        <w:spacing w:line="360" w:lineRule="auto"/>
      </w:pPr>
      <w:r w:rsidRPr="00EB1CBD">
        <w:t xml:space="preserve">Ma in sostanza </w:t>
      </w:r>
      <w:r w:rsidRPr="00EB1CBD">
        <w:rPr>
          <w:b/>
          <w:bCs/>
        </w:rPr>
        <w:t>da cosa è composta l’eredità digitale</w:t>
      </w:r>
      <w:r w:rsidRPr="00EB1CBD">
        <w:t xml:space="preserve">? Quest’ultima è un insieme di risorse offline e online. Della prima categoria fanno parte i file, i software e i documenti informatici creati o acquistati dalla persona defunta, ma anche nomi a dominio associati a siti internet. Quando si parla di risorse online invece ci si riferisce a tutte quelle risorse che si vengono a creare attraverso i vari tipi di account, siano essi di posta elettronica, di </w:t>
      </w:r>
      <w:r w:rsidRPr="00EB1CBD">
        <w:rPr>
          <w:i/>
          <w:iCs/>
        </w:rPr>
        <w:t>social network</w:t>
      </w:r>
      <w:r w:rsidRPr="00EB1CBD">
        <w:t xml:space="preserve">, account di natura finanziaria, di e-commerce o di pagamento elettronico. Anche le </w:t>
      </w:r>
      <w:r w:rsidRPr="00EB1CBD">
        <w:rPr>
          <w:i/>
          <w:iCs/>
        </w:rPr>
        <w:t>cripto valute</w:t>
      </w:r>
      <w:r w:rsidRPr="00EB1CBD">
        <w:t xml:space="preserve"> fanno parte dell’eredità digitale, data la loro natura di beni digitali. Dalla successione restano esclusi i beni piratati, i contenuti concessi in licenza per cui si paga un canone, gli account di firma elettronica e quelli di identità digitale. Neanche le password fanno parte dell’eredità digitale e affidarle a qualcuno non significa attribuire automaticamente le risorse cui esse danno accesso. Si può comunque investire una persona di fiducia del cosiddetto </w:t>
      </w:r>
      <w:r w:rsidRPr="00EB1CBD">
        <w:rPr>
          <w:b/>
          <w:bCs/>
        </w:rPr>
        <w:t xml:space="preserve">mandato post </w:t>
      </w:r>
      <w:proofErr w:type="spellStart"/>
      <w:r w:rsidRPr="00EB1CBD">
        <w:rPr>
          <w:b/>
          <w:bCs/>
        </w:rPr>
        <w:t>mortem</w:t>
      </w:r>
      <w:proofErr w:type="spellEnd"/>
      <w:r w:rsidRPr="00EB1CBD">
        <w:t>, affidando le credenziali d’accesso con istruzioni chiare su cosa fare in caso di decesso, come ad esempio distruggere i dati in tutto o</w:t>
      </w:r>
    </w:p>
    <w:p w14:paraId="7E2E7A97" w14:textId="77777777" w:rsidR="001D0E3D" w:rsidRPr="00EB1CBD" w:rsidRDefault="001D0E3D" w:rsidP="001D0E3D">
      <w:pPr>
        <w:spacing w:line="360" w:lineRule="auto"/>
      </w:pPr>
      <w:r w:rsidRPr="00EB1CBD">
        <w:t xml:space="preserve">in parte, o consegnarli a soggetti opportunamente indicati. Il mandato post </w:t>
      </w:r>
      <w:proofErr w:type="spellStart"/>
      <w:r w:rsidRPr="00EB1CBD">
        <w:t>mortem</w:t>
      </w:r>
      <w:proofErr w:type="spellEnd"/>
      <w:r w:rsidRPr="00EB1CBD">
        <w:t xml:space="preserve"> è ammesso dal nostro diritto per dati e risorse digitali con valore affettivo, familiare e morale.</w:t>
      </w:r>
    </w:p>
    <w:p w14:paraId="5821DBFB" w14:textId="77777777" w:rsidR="001D0E3D" w:rsidRPr="00EB1CBD" w:rsidRDefault="001D0E3D" w:rsidP="001D0E3D">
      <w:pPr>
        <w:spacing w:line="360" w:lineRule="auto"/>
      </w:pPr>
      <w:r w:rsidRPr="00EB1CBD">
        <w:rPr>
          <w:b/>
          <w:bCs/>
        </w:rPr>
        <w:t>Si può disporre dei propri diritti e interessi digitali tramite testamento</w:t>
      </w:r>
      <w:r w:rsidRPr="00EB1CBD">
        <w:t>, il quale resta sempre lo strumento più idoneo per risorse con valore economico e non solo. In caso di dubbio, è bene affidarsi al notaio di fiducia con il quale si riuscirà sicuramente a trovare la soluzione più adatta alle proprie esigenze, reali e digitali.</w:t>
      </w:r>
    </w:p>
    <w:p w14:paraId="0F6AF033" w14:textId="315B4CD3" w:rsidR="001D0E3D" w:rsidRPr="00EB1CBD" w:rsidRDefault="001D0E3D" w:rsidP="001D0E3D">
      <w:pPr>
        <w:spacing w:line="360" w:lineRule="auto"/>
      </w:pPr>
      <w:r w:rsidRPr="00EB1CBD">
        <w:t xml:space="preserve"> Ecco </w:t>
      </w:r>
      <w:r w:rsidRPr="00EB1CBD">
        <w:rPr>
          <w:b/>
          <w:bCs/>
        </w:rPr>
        <w:t>il decalogo in pillole</w:t>
      </w:r>
      <w:r w:rsidRPr="00EB1CBD">
        <w:t>:</w:t>
      </w:r>
    </w:p>
    <w:p w14:paraId="148D9E56" w14:textId="77777777" w:rsidR="001D0E3D" w:rsidRPr="00EB1CBD" w:rsidRDefault="001D0E3D" w:rsidP="001D0E3D">
      <w:pPr>
        <w:spacing w:line="360" w:lineRule="auto"/>
      </w:pPr>
      <w:r w:rsidRPr="00EB1CBD">
        <w:t>1. Non esiste una legislazione specifica, quindi è importante pianificare il passaggio dell’eredità</w:t>
      </w:r>
    </w:p>
    <w:p w14:paraId="17FFF980" w14:textId="77777777" w:rsidR="001D0E3D" w:rsidRPr="00EB1CBD" w:rsidRDefault="001D0E3D" w:rsidP="001D0E3D">
      <w:pPr>
        <w:spacing w:line="360" w:lineRule="auto"/>
      </w:pPr>
      <w:r w:rsidRPr="00EB1CBD">
        <w:t>digitale.</w:t>
      </w:r>
    </w:p>
    <w:p w14:paraId="52135613" w14:textId="77777777" w:rsidR="001D0E3D" w:rsidRPr="00EB1CBD" w:rsidRDefault="001D0E3D" w:rsidP="001D0E3D">
      <w:pPr>
        <w:spacing w:line="360" w:lineRule="auto"/>
      </w:pPr>
      <w:r w:rsidRPr="00EB1CBD">
        <w:t>2. Le password non fanno parte dell’eredità digitale, ma sono chiavi di accesso che vanno</w:t>
      </w:r>
    </w:p>
    <w:p w14:paraId="4ADA080B" w14:textId="77777777" w:rsidR="001D0E3D" w:rsidRPr="00EB1CBD" w:rsidRDefault="001D0E3D" w:rsidP="001D0E3D">
      <w:pPr>
        <w:spacing w:line="360" w:lineRule="auto"/>
      </w:pPr>
      <w:r w:rsidRPr="00EB1CBD">
        <w:t>custodite ed aggiornate.</w:t>
      </w:r>
    </w:p>
    <w:p w14:paraId="2973727A" w14:textId="77777777" w:rsidR="001D0E3D" w:rsidRPr="00EB1CBD" w:rsidRDefault="001D0E3D" w:rsidP="001D0E3D">
      <w:pPr>
        <w:spacing w:line="360" w:lineRule="auto"/>
      </w:pPr>
      <w:r w:rsidRPr="00EB1CBD">
        <w:lastRenderedPageBreak/>
        <w:t>3. Le password e le indicazioni su cosa fare in caso di decesso si possono affidare a una persona</w:t>
      </w:r>
    </w:p>
    <w:p w14:paraId="4CFB7C0D" w14:textId="77777777" w:rsidR="001D0E3D" w:rsidRPr="00EB1CBD" w:rsidRDefault="001D0E3D" w:rsidP="001D0E3D">
      <w:pPr>
        <w:spacing w:line="360" w:lineRule="auto"/>
      </w:pPr>
      <w:r w:rsidRPr="00EB1CBD">
        <w:t xml:space="preserve">di fiducia attraverso il mandato post </w:t>
      </w:r>
      <w:proofErr w:type="spellStart"/>
      <w:r w:rsidRPr="00EB1CBD">
        <w:t>mortem</w:t>
      </w:r>
      <w:proofErr w:type="spellEnd"/>
      <w:r w:rsidRPr="00EB1CBD">
        <w:t xml:space="preserve"> o tramite testamento.</w:t>
      </w:r>
    </w:p>
    <w:p w14:paraId="66D2CE5F" w14:textId="77777777" w:rsidR="001D0E3D" w:rsidRPr="00EB1CBD" w:rsidRDefault="001D0E3D" w:rsidP="001D0E3D">
      <w:pPr>
        <w:spacing w:line="360" w:lineRule="auto"/>
      </w:pPr>
      <w:r w:rsidRPr="00EB1CBD">
        <mc:AlternateContent>
          <mc:Choice Requires="wps">
            <w:drawing>
              <wp:inline distT="0" distB="0" distL="0" distR="0" wp14:anchorId="72E89D03" wp14:editId="60DC7300">
                <wp:extent cx="38100" cy="38100"/>
                <wp:effectExtent l="0" t="0" r="0" b="0"/>
                <wp:docPr id="57167964" name="Rettangolo 4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BCB42" id="Rettangolo 4" o:spid="_x0000_s1026" alt="image1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EB1CBD">
        <mc:AlternateContent>
          <mc:Choice Requires="wps">
            <w:drawing>
              <wp:inline distT="0" distB="0" distL="0" distR="0" wp14:anchorId="0434AB09" wp14:editId="73921830">
                <wp:extent cx="38100" cy="38100"/>
                <wp:effectExtent l="0" t="0" r="0" b="0"/>
                <wp:docPr id="303474357" name="Rettangolo 3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2470E" id="Rettangolo 3" o:spid="_x0000_s1026" alt="image1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EB1CBD">
        <w:t>4. Affidare la password a qualcuno non vuol dire attribuire la risorsa cui essa dà accesso.</w:t>
      </w:r>
    </w:p>
    <w:p w14:paraId="4043EF93" w14:textId="77777777" w:rsidR="001D0E3D" w:rsidRPr="00EB1CBD" w:rsidRDefault="001D0E3D" w:rsidP="001D0E3D">
      <w:pPr>
        <w:spacing w:line="360" w:lineRule="auto"/>
      </w:pPr>
      <w:r w:rsidRPr="00EB1CBD">
        <w:t>5. Sono esclusi dalla successione i beni piratati, quelli concessi in licenza, gli account di firma</w:t>
      </w:r>
    </w:p>
    <w:p w14:paraId="094AA4CF" w14:textId="77777777" w:rsidR="001D0E3D" w:rsidRPr="00EB1CBD" w:rsidRDefault="001D0E3D" w:rsidP="001D0E3D">
      <w:pPr>
        <w:spacing w:line="360" w:lineRule="auto"/>
      </w:pPr>
      <w:r w:rsidRPr="00EB1CBD">
        <w:t>elettronica e quelli dell’identità digitale.</w:t>
      </w:r>
    </w:p>
    <w:p w14:paraId="0FA15AD7" w14:textId="77777777" w:rsidR="001D0E3D" w:rsidRPr="00EB1CBD" w:rsidRDefault="001D0E3D" w:rsidP="001D0E3D">
      <w:pPr>
        <w:spacing w:line="360" w:lineRule="auto"/>
      </w:pPr>
      <w:r w:rsidRPr="00EB1CBD">
        <w:t>6. Le criptovalute sono beni digitali con valore economico.</w:t>
      </w:r>
    </w:p>
    <w:p w14:paraId="3C26A214" w14:textId="77777777" w:rsidR="001D0E3D" w:rsidRPr="00EB1CBD" w:rsidRDefault="001D0E3D" w:rsidP="001D0E3D">
      <w:pPr>
        <w:spacing w:line="360" w:lineRule="auto"/>
      </w:pPr>
      <w:r w:rsidRPr="00EB1CBD">
        <w:t>7. Un conto online è l’estensione virtuale di un conto reale, e gli eredi possono quindi reclamare</w:t>
      </w:r>
    </w:p>
    <w:p w14:paraId="3124A70B" w14:textId="77777777" w:rsidR="001D0E3D" w:rsidRPr="00EB1CBD" w:rsidRDefault="001D0E3D" w:rsidP="001D0E3D">
      <w:pPr>
        <w:spacing w:line="360" w:lineRule="auto"/>
      </w:pPr>
      <w:r w:rsidRPr="00EB1CBD">
        <w:t>quanto spetta loro attraverso i canali tradizionali.</w:t>
      </w:r>
    </w:p>
    <w:p w14:paraId="6629194D" w14:textId="77777777" w:rsidR="001D0E3D" w:rsidRPr="00EB1CBD" w:rsidRDefault="001D0E3D" w:rsidP="001D0E3D">
      <w:pPr>
        <w:spacing w:line="360" w:lineRule="auto"/>
      </w:pPr>
      <w:r w:rsidRPr="00EB1CBD">
        <w:t xml:space="preserve">8. Spesso le società che danno accesso ai servizi online risiedono </w:t>
      </w:r>
      <w:proofErr w:type="gramStart"/>
      <w:r w:rsidRPr="00EB1CBD">
        <w:t>all’estero, quindi</w:t>
      </w:r>
      <w:proofErr w:type="gramEnd"/>
      <w:r w:rsidRPr="00EB1CBD">
        <w:t xml:space="preserve"> si rischiano</w:t>
      </w:r>
    </w:p>
    <w:p w14:paraId="51BC83AD" w14:textId="77777777" w:rsidR="001D0E3D" w:rsidRPr="00EB1CBD" w:rsidRDefault="001D0E3D" w:rsidP="001D0E3D">
      <w:pPr>
        <w:spacing w:line="360" w:lineRule="auto"/>
      </w:pPr>
      <w:r w:rsidRPr="00EB1CBD">
        <w:t>controversie internazionali se non si esprimono disposizioni sull’eredità digitale.</w:t>
      </w:r>
    </w:p>
    <w:p w14:paraId="4814627B" w14:textId="77777777" w:rsidR="001D0E3D" w:rsidRPr="00EB1CBD" w:rsidRDefault="001D0E3D" w:rsidP="001D0E3D">
      <w:pPr>
        <w:spacing w:line="360" w:lineRule="auto"/>
      </w:pPr>
      <w:r w:rsidRPr="00EB1CBD">
        <w:t>9. Alcuni servizi permettono di indicare un “contatto erede”, altri invece in caso di morte</w:t>
      </w:r>
    </w:p>
    <w:p w14:paraId="5112F255" w14:textId="77777777" w:rsidR="001D0E3D" w:rsidRPr="00EB1CBD" w:rsidRDefault="001D0E3D" w:rsidP="001D0E3D">
      <w:pPr>
        <w:spacing w:line="360" w:lineRule="auto"/>
      </w:pPr>
      <w:r w:rsidRPr="00EB1CBD">
        <w:t>prevedono l’eliminazione di tutti i dati.</w:t>
      </w:r>
    </w:p>
    <w:p w14:paraId="3E9C66AE" w14:textId="21AAD287" w:rsidR="000C5267" w:rsidRDefault="001D0E3D" w:rsidP="001D0E3D">
      <w:pPr>
        <w:spacing w:line="360" w:lineRule="auto"/>
      </w:pPr>
      <w:r w:rsidRPr="00EB1CBD">
        <w:t>10. In caso di dubbio, affidatevi al vostro notaio di fiducia.</w:t>
      </w:r>
    </w:p>
    <w:p w14:paraId="0A50F824" w14:textId="77777777" w:rsidR="001D0E3D" w:rsidRDefault="001D0E3D">
      <w:pPr>
        <w:spacing w:line="360" w:lineRule="auto"/>
      </w:pPr>
    </w:p>
    <w:sectPr w:rsidR="001D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3D"/>
    <w:rsid w:val="000C5267"/>
    <w:rsid w:val="001D0E3D"/>
    <w:rsid w:val="00E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F89"/>
  <w15:chartTrackingRefBased/>
  <w15:docId w15:val="{70F3944A-DF0E-43EA-8D57-0F2B7C6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E3D"/>
  </w:style>
  <w:style w:type="paragraph" w:styleId="Titolo1">
    <w:name w:val="heading 1"/>
    <w:basedOn w:val="Normale"/>
    <w:next w:val="Normale"/>
    <w:link w:val="Titolo1Carattere"/>
    <w:uiPriority w:val="9"/>
    <w:qFormat/>
    <w:rsid w:val="001D0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0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0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0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0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0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0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0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0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0E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0E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0E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0E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0E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0E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0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0E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0E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0E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0E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0E3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0E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to.infinity.it/wp-content/uploads/Studio-1_2023-DI_Eredita-digitale_app_20231019.pdf" TargetMode="External"/><Relationship Id="rId13" Type="http://schemas.openxmlformats.org/officeDocument/2006/relationships/hyperlink" Target="https://notariato.infinity.it/wp-content/uploads/Studio-1_2023-DI_Eredita-digitale_app_20231019.pdf" TargetMode="External"/><Relationship Id="rId18" Type="http://schemas.openxmlformats.org/officeDocument/2006/relationships/hyperlink" Target="https://notariato.infinity.it/wp-content/uploads/Studio-1_2023-DI_Eredita-digitale_app_202310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tariato.infinity.it/wp-content/uploads/Studio-1_2023-DI_Eredita-digitale_app_20231019.pdf" TargetMode="External"/><Relationship Id="rId7" Type="http://schemas.openxmlformats.org/officeDocument/2006/relationships/hyperlink" Target="https://notariato.infinity.it/wp-content/uploads/Studio-1_2023-DI_Eredita-digitale_app_20231019.pdf" TargetMode="External"/><Relationship Id="rId12" Type="http://schemas.openxmlformats.org/officeDocument/2006/relationships/hyperlink" Target="https://notariato.infinity.it/wp-content/uploads/Studio-1_2023-DI_Eredita-digitale_app_20231019.pdf" TargetMode="External"/><Relationship Id="rId17" Type="http://schemas.openxmlformats.org/officeDocument/2006/relationships/hyperlink" Target="https://notariato.infinity.it/wp-content/uploads/Studio-1_2023-DI_Eredita-digitale_app_20231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tariato.infinity.it/wp-content/uploads/Studio-1_2023-DI_Eredita-digitale_app_20231019.pdf" TargetMode="External"/><Relationship Id="rId20" Type="http://schemas.openxmlformats.org/officeDocument/2006/relationships/hyperlink" Target="https://notariato.infinity.it/wp-content/uploads/Studio-1_2023-DI_Eredita-digitale_app_20231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notariato.infinity.it/wp-content/uploads/Studio-1_2023-DI_Eredita-digitale_app_20231019.pdf" TargetMode="External"/><Relationship Id="rId11" Type="http://schemas.openxmlformats.org/officeDocument/2006/relationships/hyperlink" Target="https://notariato.infinity.it/wp-content/uploads/Studio-1_2023-DI_Eredita-digitale_app_20231019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otariato.it/" TargetMode="External"/><Relationship Id="rId15" Type="http://schemas.openxmlformats.org/officeDocument/2006/relationships/hyperlink" Target="https://notariato.infinity.it/wp-content/uploads/Studio-1_2023-DI_Eredita-digitale_app_2023101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tariato.infinity.it/wp-content/uploads/Studio-1_2023-DI_Eredita-digitale_app_20231019.pdf" TargetMode="External"/><Relationship Id="rId19" Type="http://schemas.openxmlformats.org/officeDocument/2006/relationships/hyperlink" Target="https://notariato.infinity.it/wp-content/uploads/Studio-1_2023-DI_Eredita-digitale_app_20231019.pdf" TargetMode="External"/><Relationship Id="rId4" Type="http://schemas.openxmlformats.org/officeDocument/2006/relationships/hyperlink" Target="http://www.notariato.it/" TargetMode="External"/><Relationship Id="rId9" Type="http://schemas.openxmlformats.org/officeDocument/2006/relationships/hyperlink" Target="https://notariato.infinity.it/wp-content/uploads/Studio-1_2023-DI_Eredita-digitale_app_20231019.pdf" TargetMode="External"/><Relationship Id="rId14" Type="http://schemas.openxmlformats.org/officeDocument/2006/relationships/hyperlink" Target="https://notariato.infinity.it/wp-content/uploads/Studio-1_2023-DI_Eredita-digitale_app_20231019.pdf" TargetMode="External"/><Relationship Id="rId22" Type="http://schemas.openxmlformats.org/officeDocument/2006/relationships/hyperlink" Target="https://notariato.infinity.it/wp-content/uploads/Studio-1_2023-DI_Eredita-digitale_app_2023101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2025-09-16T09:56:00Z</dcterms:created>
  <dcterms:modified xsi:type="dcterms:W3CDTF">2025-09-16T09:59:00Z</dcterms:modified>
</cp:coreProperties>
</file>