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3B4C" w14:textId="77777777" w:rsidR="00CF26E1" w:rsidRDefault="00CF26E1" w:rsidP="003D594E">
      <w:r w:rsidRPr="00CF26E1">
        <w:t>Responsabilità penale dei medici: il punto sul rinvio del ddl</w:t>
      </w:r>
    </w:p>
    <w:p w14:paraId="26170AC5" w14:textId="77777777" w:rsidR="00CF26E1" w:rsidRDefault="00CF26E1" w:rsidP="003D594E">
      <w:r w:rsidRPr="00CF26E1">
        <w:t xml:space="preserve">Tensioni nella </w:t>
      </w:r>
      <w:r>
        <w:t>categoria</w:t>
      </w:r>
      <w:r w:rsidRPr="00CF26E1">
        <w:t xml:space="preserve"> sul </w:t>
      </w:r>
      <w:r>
        <w:t xml:space="preserve">rinvio del </w:t>
      </w:r>
      <w:r w:rsidRPr="00CF26E1">
        <w:t>disegno di legge per medici e operatori sanitari</w:t>
      </w:r>
    </w:p>
    <w:p w14:paraId="1179BA9B" w14:textId="60C2A3E9" w:rsidR="003D594E" w:rsidRDefault="003D594E" w:rsidP="003D594E">
      <w:r>
        <w:t>Secondo fonti di Palazzo Chigi, il rinvio è stato determinato da divergenze interpretative emerse tra i ministri, in particolare sull’estensione dell’ambito applicativo dello scudo penale: se limitarlo agli interventi ad “elevata difficoltà” oppure estenderlo a tutta l’attività sanitaria. Il disegno di legge, presentato congiuntamente dal ministero della Salute e dal ministero della Giustizia, prevede una revisione della disciplina delle professioni sanitarie, con interventi su formazione, carriera e responsabilità professionale.</w:t>
      </w:r>
    </w:p>
    <w:p w14:paraId="280C020C" w14:textId="77777777" w:rsidR="003D594E" w:rsidRDefault="003D594E" w:rsidP="003D594E">
      <w:r>
        <w:t>L’articolo 7 del provvedimento introduce una causa di non punibilità per i professionisti sanitari nei casi di morte o lesioni personali, in assenza di colpa grave. I criteri oggettivi previsti includono l’aderenza a linee guida o buone pratiche clinico-assistenziali, la complessità del caso, le condizioni di urgenza e le risorse disponibili. La norma mira a stabilizzare una misura già applicata durante l’emergenza pandemica e poi prorogata, concepita per tutelare i professionisti da contenziosi giudicati sproporzionati.</w:t>
      </w:r>
    </w:p>
    <w:p w14:paraId="6870FC04" w14:textId="77777777" w:rsidR="003D594E" w:rsidRDefault="003D594E" w:rsidP="003D594E">
      <w:r>
        <w:t>Il testo interviene anche su altri aspetti rilevanti per il Servizio sanitario nazionale (SSN). Tra le principali novità: la trasformazione della formazione in medicina generale in una scuola di specializzazione, l’istituzione di percorsi specialistici per chimici, biologi e odontoiatri, e un sistema di certificazione delle competenze sanitarie. È prevista inoltre la definizione di una governance per l’utilizzo dell’intelligenza artificiale in ambito clinico.</w:t>
      </w:r>
    </w:p>
    <w:p w14:paraId="352DC772" w14:textId="618BBB57" w:rsidR="000C5267" w:rsidRDefault="003D594E" w:rsidP="003D594E">
      <w:r>
        <w:t>Tra gli obiettivi generali dichiarati vi sono il rafforzamento dell’attrattività del SSN, la valorizzazione delle competenze professionali e la riduzione delle liste d’attesa, anche attraverso meccanismi premiali legati alla performance. I decreti attuativi dovranno essere adottati entro il 31 dicembre 2026, con possibilità di interventi correttivi nei diciotto mesi successivi. Il provvedimento è stato impostato in modo da non comportare nuovi o maggiori oneri per la finanza pubblica.</w:t>
      </w:r>
    </w:p>
    <w:p w14:paraId="78CDD6E2" w14:textId="5A5858BD" w:rsidR="00D20723" w:rsidRPr="00D20723" w:rsidRDefault="00D20723" w:rsidP="003D594E">
      <w:pPr>
        <w:rPr>
          <w:b/>
          <w:bCs/>
          <w:i/>
          <w:iCs/>
        </w:rPr>
      </w:pPr>
      <w:r w:rsidRPr="00D20723">
        <w:rPr>
          <w:b/>
          <w:bCs/>
          <w:i/>
          <w:iCs/>
        </w:rPr>
        <w:t>Doctor 33</w:t>
      </w:r>
    </w:p>
    <w:sectPr w:rsidR="00D20723" w:rsidRPr="00D20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4E"/>
    <w:rsid w:val="000C5267"/>
    <w:rsid w:val="003D594E"/>
    <w:rsid w:val="00CF26E1"/>
    <w:rsid w:val="00D20723"/>
    <w:rsid w:val="00E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2BC5"/>
  <w15:chartTrackingRefBased/>
  <w15:docId w15:val="{5044327F-4ABE-4EC1-A824-AE2D41D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94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94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9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9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9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9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9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9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9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594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94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3</cp:revision>
  <dcterms:created xsi:type="dcterms:W3CDTF">2025-08-06T21:17:00Z</dcterms:created>
  <dcterms:modified xsi:type="dcterms:W3CDTF">2025-08-06T21:19:00Z</dcterms:modified>
</cp:coreProperties>
</file>