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C1F40" w14:textId="77777777" w:rsidR="00BF12FC" w:rsidRDefault="00BF12FC" w:rsidP="00751DD4">
      <w:pPr>
        <w:spacing w:line="280" w:lineRule="exact"/>
        <w:rPr>
          <w:rFonts w:ascii="Verdana" w:hAnsi="Verdana"/>
          <w:b/>
          <w:bCs/>
          <w:sz w:val="26"/>
          <w:szCs w:val="26"/>
        </w:rPr>
      </w:pPr>
    </w:p>
    <w:p w14:paraId="2426A2CB" w14:textId="72EE5BFE" w:rsidR="0078739C" w:rsidRPr="00BF12FC" w:rsidRDefault="0078739C" w:rsidP="0078739C">
      <w:pPr>
        <w:spacing w:line="280" w:lineRule="exact"/>
        <w:jc w:val="center"/>
        <w:rPr>
          <w:rFonts w:ascii="Verdana" w:hAnsi="Verdana"/>
          <w:b/>
          <w:bCs/>
          <w:sz w:val="26"/>
          <w:szCs w:val="26"/>
        </w:rPr>
      </w:pPr>
      <w:r w:rsidRPr="00BF12FC">
        <w:rPr>
          <w:rFonts w:ascii="Verdana" w:hAnsi="Verdana"/>
          <w:b/>
          <w:bCs/>
          <w:sz w:val="26"/>
          <w:szCs w:val="26"/>
        </w:rPr>
        <w:t xml:space="preserve">SURVEY ANAAO ASSOMED </w:t>
      </w:r>
    </w:p>
    <w:p w14:paraId="47514568" w14:textId="13E06F9D" w:rsidR="0078739C" w:rsidRPr="00BF12FC" w:rsidRDefault="0078739C" w:rsidP="0078739C">
      <w:pPr>
        <w:spacing w:line="280" w:lineRule="exact"/>
        <w:jc w:val="center"/>
        <w:rPr>
          <w:rFonts w:ascii="Verdana" w:hAnsi="Verdana"/>
          <w:b/>
          <w:bCs/>
          <w:sz w:val="26"/>
          <w:szCs w:val="26"/>
        </w:rPr>
      </w:pPr>
      <w:r w:rsidRPr="00BF12FC">
        <w:rPr>
          <w:rFonts w:ascii="Verdana" w:hAnsi="Verdana"/>
          <w:b/>
          <w:bCs/>
          <w:sz w:val="26"/>
          <w:szCs w:val="26"/>
        </w:rPr>
        <w:t>SULLA RESPONSABILITA’ PROFESSIONALE</w:t>
      </w:r>
    </w:p>
    <w:p w14:paraId="286DD8AE" w14:textId="77777777" w:rsidR="0078739C" w:rsidRPr="00BF12FC" w:rsidRDefault="0078739C" w:rsidP="0078739C">
      <w:pPr>
        <w:spacing w:line="280" w:lineRule="exact"/>
        <w:jc w:val="center"/>
        <w:rPr>
          <w:rFonts w:ascii="Verdana" w:hAnsi="Verdana"/>
          <w:b/>
          <w:bCs/>
          <w:sz w:val="26"/>
          <w:szCs w:val="26"/>
        </w:rPr>
      </w:pPr>
    </w:p>
    <w:p w14:paraId="1FDB9614" w14:textId="77777777" w:rsidR="0033674D" w:rsidRPr="00BF12FC" w:rsidRDefault="0078739C" w:rsidP="006E1F32">
      <w:pPr>
        <w:spacing w:line="320" w:lineRule="exact"/>
        <w:jc w:val="center"/>
        <w:rPr>
          <w:rFonts w:ascii="Verdana" w:hAnsi="Verdana"/>
          <w:b/>
          <w:bCs/>
          <w:sz w:val="30"/>
          <w:szCs w:val="30"/>
        </w:rPr>
      </w:pPr>
      <w:r w:rsidRPr="00BF12FC">
        <w:rPr>
          <w:rFonts w:ascii="Verdana" w:hAnsi="Verdana"/>
          <w:b/>
          <w:bCs/>
          <w:sz w:val="30"/>
          <w:szCs w:val="30"/>
        </w:rPr>
        <w:t xml:space="preserve">1 </w:t>
      </w:r>
      <w:r w:rsidR="00546508" w:rsidRPr="00BF12FC">
        <w:rPr>
          <w:rFonts w:ascii="Verdana" w:hAnsi="Verdana"/>
          <w:b/>
          <w:bCs/>
          <w:sz w:val="30"/>
          <w:szCs w:val="30"/>
        </w:rPr>
        <w:t>medico</w:t>
      </w:r>
      <w:r w:rsidRPr="00BF12FC">
        <w:rPr>
          <w:rFonts w:ascii="Verdana" w:hAnsi="Verdana"/>
          <w:b/>
          <w:bCs/>
          <w:sz w:val="30"/>
          <w:szCs w:val="30"/>
        </w:rPr>
        <w:t xml:space="preserve"> su 3 ha subito una denuncia penale e/o civile</w:t>
      </w:r>
      <w:r w:rsidR="00546508" w:rsidRPr="00BF12FC">
        <w:rPr>
          <w:rFonts w:ascii="Verdana" w:hAnsi="Verdana"/>
          <w:b/>
          <w:bCs/>
          <w:sz w:val="30"/>
          <w:szCs w:val="30"/>
        </w:rPr>
        <w:t>.</w:t>
      </w:r>
    </w:p>
    <w:p w14:paraId="397A87A3" w14:textId="19B744F6" w:rsidR="00597DFC" w:rsidRPr="00BF12FC" w:rsidRDefault="00597DFC" w:rsidP="006E1F32">
      <w:pPr>
        <w:spacing w:line="320" w:lineRule="exact"/>
        <w:jc w:val="center"/>
        <w:rPr>
          <w:rFonts w:ascii="Verdana" w:hAnsi="Verdana"/>
          <w:b/>
          <w:bCs/>
          <w:sz w:val="28"/>
          <w:szCs w:val="28"/>
        </w:rPr>
      </w:pPr>
      <w:r w:rsidRPr="00BF12FC">
        <w:rPr>
          <w:rFonts w:ascii="Verdana" w:hAnsi="Verdana"/>
          <w:b/>
          <w:bCs/>
          <w:sz w:val="28"/>
          <w:szCs w:val="28"/>
        </w:rPr>
        <w:t xml:space="preserve">Ma </w:t>
      </w:r>
      <w:r w:rsidR="00712335" w:rsidRPr="00BF12FC">
        <w:rPr>
          <w:rFonts w:ascii="Verdana" w:hAnsi="Verdana"/>
          <w:b/>
          <w:bCs/>
          <w:sz w:val="28"/>
          <w:szCs w:val="28"/>
        </w:rPr>
        <w:t xml:space="preserve">solo </w:t>
      </w:r>
      <w:r w:rsidR="006E1F32" w:rsidRPr="00BF12FC">
        <w:rPr>
          <w:rFonts w:ascii="Verdana" w:hAnsi="Verdana"/>
          <w:b/>
          <w:bCs/>
          <w:sz w:val="28"/>
          <w:szCs w:val="28"/>
        </w:rPr>
        <w:t>il</w:t>
      </w:r>
      <w:r w:rsidRPr="00BF12FC">
        <w:rPr>
          <w:rFonts w:ascii="Verdana" w:hAnsi="Verdana"/>
          <w:b/>
          <w:bCs/>
          <w:sz w:val="28"/>
          <w:szCs w:val="28"/>
        </w:rPr>
        <w:t xml:space="preserve"> </w:t>
      </w:r>
      <w:r w:rsidR="00712335" w:rsidRPr="00BF12FC">
        <w:rPr>
          <w:rFonts w:ascii="Verdana" w:hAnsi="Verdana"/>
          <w:b/>
          <w:bCs/>
          <w:sz w:val="28"/>
          <w:szCs w:val="28"/>
        </w:rPr>
        <w:t>3</w:t>
      </w:r>
      <w:r w:rsidRPr="00BF12FC">
        <w:rPr>
          <w:rFonts w:ascii="Verdana" w:hAnsi="Verdana"/>
          <w:b/>
          <w:bCs/>
          <w:sz w:val="28"/>
          <w:szCs w:val="28"/>
        </w:rPr>
        <w:t xml:space="preserve">% </w:t>
      </w:r>
      <w:r w:rsidR="006E1F32" w:rsidRPr="00BF12FC">
        <w:rPr>
          <w:rFonts w:ascii="Verdana" w:hAnsi="Verdana"/>
          <w:b/>
          <w:bCs/>
          <w:sz w:val="28"/>
          <w:szCs w:val="28"/>
        </w:rPr>
        <w:t>viene condannato</w:t>
      </w:r>
      <w:r w:rsidRPr="00BF12FC">
        <w:rPr>
          <w:rFonts w:ascii="Verdana" w:hAnsi="Verdana"/>
          <w:b/>
          <w:bCs/>
          <w:sz w:val="28"/>
          <w:szCs w:val="28"/>
        </w:rPr>
        <w:t>.</w:t>
      </w:r>
    </w:p>
    <w:p w14:paraId="16D0F9E6" w14:textId="77777777" w:rsidR="0078739C" w:rsidRPr="00BF12FC" w:rsidRDefault="0078739C" w:rsidP="00204991">
      <w:pPr>
        <w:spacing w:line="280" w:lineRule="exact"/>
        <w:jc w:val="both"/>
        <w:rPr>
          <w:rFonts w:ascii="Verdana" w:hAnsi="Verdana"/>
          <w:sz w:val="22"/>
          <w:szCs w:val="22"/>
        </w:rPr>
      </w:pPr>
    </w:p>
    <w:p w14:paraId="68F82AB9" w14:textId="4BD48180" w:rsidR="00597DFC" w:rsidRPr="00BF12FC" w:rsidRDefault="00F25A02" w:rsidP="00204991">
      <w:pPr>
        <w:spacing w:line="280" w:lineRule="exact"/>
        <w:jc w:val="both"/>
        <w:rPr>
          <w:rFonts w:ascii="Verdana" w:hAnsi="Verdana"/>
          <w:sz w:val="22"/>
          <w:szCs w:val="22"/>
        </w:rPr>
      </w:pPr>
      <w:r w:rsidRPr="00BF12FC">
        <w:rPr>
          <w:rFonts w:ascii="Verdana" w:hAnsi="Verdana"/>
          <w:sz w:val="22"/>
          <w:szCs w:val="22"/>
        </w:rPr>
        <w:t xml:space="preserve">Un medico su </w:t>
      </w:r>
      <w:proofErr w:type="gramStart"/>
      <w:r w:rsidRPr="00BF12FC">
        <w:rPr>
          <w:rFonts w:ascii="Verdana" w:hAnsi="Verdana"/>
          <w:sz w:val="22"/>
          <w:szCs w:val="22"/>
        </w:rPr>
        <w:t>3</w:t>
      </w:r>
      <w:proofErr w:type="gramEnd"/>
      <w:r w:rsidRPr="00BF12FC">
        <w:rPr>
          <w:rFonts w:ascii="Verdana" w:hAnsi="Verdana"/>
          <w:sz w:val="22"/>
          <w:szCs w:val="22"/>
        </w:rPr>
        <w:t xml:space="preserve"> ha ricevuto una denuncia. </w:t>
      </w:r>
      <w:r w:rsidRPr="00BF12FC">
        <w:rPr>
          <w:rFonts w:ascii="Verdana" w:hAnsi="Verdana" w:cs="Arial"/>
          <w:sz w:val="22"/>
          <w:szCs w:val="22"/>
        </w:rPr>
        <w:t>D</w:t>
      </w:r>
      <w:r w:rsidRPr="00BF12FC">
        <w:rPr>
          <w:rFonts w:ascii="Verdana" w:hAnsi="Verdana"/>
          <w:sz w:val="22"/>
          <w:szCs w:val="22"/>
        </w:rPr>
        <w:t>i tipo penale nel 43,6% dei casi, civile nel 30,8% e addirittura di entrambe le tipologie nel 25,6%. Ed è l</w:t>
      </w:r>
      <w:r w:rsidR="00597DFC" w:rsidRPr="00BF12FC">
        <w:rPr>
          <w:rFonts w:ascii="Verdana" w:hAnsi="Verdana"/>
          <w:sz w:val="22"/>
          <w:szCs w:val="22"/>
        </w:rPr>
        <w:t xml:space="preserve">a chirurgia ad essere nel mirino </w:t>
      </w:r>
      <w:r w:rsidRPr="00BF12FC">
        <w:rPr>
          <w:rFonts w:ascii="Verdana" w:hAnsi="Verdana"/>
          <w:sz w:val="22"/>
          <w:szCs w:val="22"/>
        </w:rPr>
        <w:t xml:space="preserve">della magistratura </w:t>
      </w:r>
      <w:r w:rsidR="00597DFC" w:rsidRPr="00BF12FC">
        <w:rPr>
          <w:rFonts w:ascii="Verdana" w:hAnsi="Verdana"/>
          <w:sz w:val="22"/>
          <w:szCs w:val="22"/>
        </w:rPr>
        <w:t xml:space="preserve">con </w:t>
      </w:r>
      <w:r w:rsidR="00CD3A83" w:rsidRPr="00BF12FC">
        <w:rPr>
          <w:rFonts w:ascii="Verdana" w:hAnsi="Verdana"/>
          <w:sz w:val="22"/>
          <w:szCs w:val="22"/>
        </w:rPr>
        <w:t xml:space="preserve">oltre </w:t>
      </w:r>
      <w:r w:rsidR="00597DFC" w:rsidRPr="00BF12FC">
        <w:rPr>
          <w:rFonts w:ascii="Verdana" w:hAnsi="Verdana"/>
          <w:sz w:val="22"/>
          <w:szCs w:val="22"/>
        </w:rPr>
        <w:t xml:space="preserve">l’82% dei casi segnalati. </w:t>
      </w:r>
      <w:r w:rsidRPr="00BF12FC">
        <w:rPr>
          <w:rFonts w:ascii="Verdana" w:hAnsi="Verdana"/>
          <w:sz w:val="22"/>
          <w:szCs w:val="22"/>
        </w:rPr>
        <w:t>I</w:t>
      </w:r>
      <w:r w:rsidR="00597DFC" w:rsidRPr="00BF12FC">
        <w:rPr>
          <w:rFonts w:ascii="Verdana" w:hAnsi="Verdana"/>
          <w:sz w:val="22"/>
          <w:szCs w:val="22"/>
        </w:rPr>
        <w:t xml:space="preserve"> più colpiti sono gli uomini </w:t>
      </w:r>
      <w:r w:rsidR="006E1F32" w:rsidRPr="00BF12FC">
        <w:rPr>
          <w:rFonts w:ascii="Verdana" w:hAnsi="Verdana"/>
          <w:sz w:val="22"/>
          <w:szCs w:val="22"/>
        </w:rPr>
        <w:t xml:space="preserve">over 55 anni che lavorano in </w:t>
      </w:r>
      <w:r w:rsidR="0033674D" w:rsidRPr="00BF12FC">
        <w:rPr>
          <w:rFonts w:ascii="Verdana" w:hAnsi="Verdana"/>
          <w:sz w:val="22"/>
          <w:szCs w:val="22"/>
        </w:rPr>
        <w:t>ospedali con meno di 500 posti letto</w:t>
      </w:r>
      <w:r w:rsidR="00597DFC" w:rsidRPr="00BF12FC">
        <w:rPr>
          <w:rFonts w:ascii="Verdana" w:hAnsi="Verdana"/>
          <w:sz w:val="22"/>
          <w:szCs w:val="22"/>
        </w:rPr>
        <w:t xml:space="preserve">. </w:t>
      </w:r>
      <w:r w:rsidR="00FC15B8" w:rsidRPr="00BF12FC">
        <w:rPr>
          <w:rFonts w:ascii="Verdana" w:hAnsi="Verdana"/>
          <w:sz w:val="22"/>
          <w:szCs w:val="22"/>
        </w:rPr>
        <w:t xml:space="preserve">Si vive un </w:t>
      </w:r>
      <w:r w:rsidRPr="00BF12FC">
        <w:rPr>
          <w:rFonts w:ascii="Verdana" w:hAnsi="Verdana"/>
          <w:sz w:val="22"/>
          <w:szCs w:val="22"/>
        </w:rPr>
        <w:t xml:space="preserve">clima di caccia alle streghe </w:t>
      </w:r>
      <w:r w:rsidR="00FC15B8" w:rsidRPr="00BF12FC">
        <w:rPr>
          <w:rFonts w:ascii="Verdana" w:hAnsi="Verdana"/>
          <w:sz w:val="22"/>
          <w:szCs w:val="22"/>
        </w:rPr>
        <w:t xml:space="preserve">al punto </w:t>
      </w:r>
      <w:r w:rsidRPr="00BF12FC">
        <w:rPr>
          <w:rFonts w:ascii="Verdana" w:hAnsi="Verdana"/>
          <w:sz w:val="22"/>
          <w:szCs w:val="22"/>
        </w:rPr>
        <w:t xml:space="preserve">che </w:t>
      </w:r>
      <w:r w:rsidR="00FC15B8" w:rsidRPr="00BF12FC">
        <w:rPr>
          <w:rFonts w:ascii="Verdana" w:hAnsi="Verdana"/>
          <w:sz w:val="22"/>
          <w:szCs w:val="22"/>
        </w:rPr>
        <w:t>almeno</w:t>
      </w:r>
      <w:r w:rsidRPr="00BF12FC">
        <w:rPr>
          <w:rFonts w:ascii="Verdana" w:hAnsi="Verdana"/>
          <w:sz w:val="22"/>
          <w:szCs w:val="22"/>
        </w:rPr>
        <w:t xml:space="preserve"> </w:t>
      </w:r>
      <w:r w:rsidR="00F519DB" w:rsidRPr="00BF12FC">
        <w:rPr>
          <w:rFonts w:ascii="Verdana" w:hAnsi="Verdana"/>
          <w:sz w:val="22"/>
          <w:szCs w:val="22"/>
        </w:rPr>
        <w:t xml:space="preserve">1 </w:t>
      </w:r>
      <w:r w:rsidRPr="00BF12FC">
        <w:rPr>
          <w:rFonts w:ascii="Verdana" w:hAnsi="Verdana"/>
          <w:sz w:val="22"/>
          <w:szCs w:val="22"/>
        </w:rPr>
        <w:t xml:space="preserve">camice bianco </w:t>
      </w:r>
      <w:r w:rsidR="00F519DB" w:rsidRPr="00BF12FC">
        <w:rPr>
          <w:rFonts w:ascii="Verdana" w:hAnsi="Verdana"/>
          <w:sz w:val="22"/>
          <w:szCs w:val="22"/>
        </w:rPr>
        <w:t xml:space="preserve">su 3 </w:t>
      </w:r>
      <w:r w:rsidR="00FC15B8" w:rsidRPr="00BF12FC">
        <w:rPr>
          <w:rFonts w:ascii="Verdana" w:hAnsi="Verdana"/>
          <w:sz w:val="22"/>
          <w:szCs w:val="22"/>
        </w:rPr>
        <w:t>pensa di</w:t>
      </w:r>
      <w:r w:rsidR="00F519DB" w:rsidRPr="00BF12FC">
        <w:rPr>
          <w:rFonts w:ascii="Verdana" w:hAnsi="Verdana"/>
          <w:sz w:val="22"/>
          <w:szCs w:val="22"/>
        </w:rPr>
        <w:t xml:space="preserve"> licenziarsi</w:t>
      </w:r>
      <w:r w:rsidR="00FC15B8" w:rsidRPr="00BF12FC">
        <w:rPr>
          <w:rFonts w:ascii="Verdana" w:hAnsi="Verdana"/>
          <w:sz w:val="22"/>
          <w:szCs w:val="22"/>
        </w:rPr>
        <w:t xml:space="preserve"> e il 47% rinuncia a ruoli di maggiore responsabilità.</w:t>
      </w:r>
    </w:p>
    <w:p w14:paraId="293DE67F" w14:textId="77777777" w:rsidR="00597DFC" w:rsidRPr="00BF12FC" w:rsidRDefault="00597DFC" w:rsidP="00204991">
      <w:pPr>
        <w:spacing w:line="280" w:lineRule="exact"/>
        <w:jc w:val="both"/>
        <w:rPr>
          <w:rFonts w:ascii="Verdana" w:hAnsi="Verdana"/>
          <w:sz w:val="22"/>
          <w:szCs w:val="22"/>
        </w:rPr>
      </w:pPr>
    </w:p>
    <w:p w14:paraId="5BC8292A" w14:textId="415BF2E5" w:rsidR="00597DFC" w:rsidRPr="00BF12FC" w:rsidRDefault="00597DFC" w:rsidP="00204991">
      <w:pPr>
        <w:spacing w:line="280" w:lineRule="exact"/>
        <w:jc w:val="both"/>
        <w:rPr>
          <w:rFonts w:ascii="Verdana" w:hAnsi="Verdana"/>
          <w:sz w:val="22"/>
          <w:szCs w:val="22"/>
        </w:rPr>
      </w:pPr>
      <w:r w:rsidRPr="00BF12FC">
        <w:rPr>
          <w:rFonts w:ascii="Verdana" w:hAnsi="Verdana"/>
          <w:sz w:val="22"/>
          <w:szCs w:val="22"/>
        </w:rPr>
        <w:t>Questi i dati che emergono dalla survey condotta dal Centro Studi dell’Anaao Assomed su un campione rappresentativo di camici bianchi equamente distribuito tra uomini e donne in età compresa tra i 25 e 65 anni</w:t>
      </w:r>
      <w:r w:rsidR="00F700DF" w:rsidRPr="00BF12FC">
        <w:rPr>
          <w:rFonts w:ascii="Verdana" w:hAnsi="Verdana"/>
          <w:sz w:val="22"/>
          <w:szCs w:val="22"/>
        </w:rPr>
        <w:t xml:space="preserve"> con una anzianità di servizio che va dall’ingresso alla pensione</w:t>
      </w:r>
      <w:r w:rsidRPr="00BF12FC">
        <w:rPr>
          <w:rFonts w:ascii="Verdana" w:hAnsi="Verdana"/>
          <w:sz w:val="22"/>
          <w:szCs w:val="22"/>
        </w:rPr>
        <w:t>.</w:t>
      </w:r>
    </w:p>
    <w:p w14:paraId="0B146C92" w14:textId="77777777" w:rsidR="0033674D" w:rsidRPr="00BF12FC" w:rsidRDefault="0033674D" w:rsidP="00204991">
      <w:pPr>
        <w:spacing w:line="280" w:lineRule="exact"/>
        <w:jc w:val="both"/>
        <w:rPr>
          <w:rFonts w:ascii="Verdana" w:hAnsi="Verdana"/>
          <w:sz w:val="22"/>
          <w:szCs w:val="22"/>
        </w:rPr>
      </w:pPr>
    </w:p>
    <w:p w14:paraId="5D4B8DE8" w14:textId="3012A89C" w:rsidR="0033674D" w:rsidRPr="00BF12FC" w:rsidRDefault="0033674D" w:rsidP="0033674D">
      <w:pPr>
        <w:spacing w:line="280" w:lineRule="exact"/>
        <w:jc w:val="both"/>
        <w:rPr>
          <w:rFonts w:ascii="Verdana" w:hAnsi="Verdana"/>
          <w:sz w:val="22"/>
          <w:szCs w:val="22"/>
        </w:rPr>
      </w:pPr>
      <w:r w:rsidRPr="00BF12FC">
        <w:rPr>
          <w:rFonts w:ascii="Verdana" w:hAnsi="Verdana"/>
          <w:sz w:val="22"/>
          <w:szCs w:val="22"/>
        </w:rPr>
        <w:t>Rispetto ai procedimenti giudiziari conclusi, solo il 3</w:t>
      </w:r>
      <w:r w:rsidR="00712335" w:rsidRPr="00BF12FC">
        <w:rPr>
          <w:rFonts w:ascii="Verdana" w:hAnsi="Verdana"/>
          <w:sz w:val="22"/>
          <w:szCs w:val="22"/>
        </w:rPr>
        <w:t>% circa</w:t>
      </w:r>
      <w:r w:rsidRPr="00BF12FC">
        <w:rPr>
          <w:rFonts w:ascii="Verdana" w:hAnsi="Verdana"/>
          <w:sz w:val="22"/>
          <w:szCs w:val="22"/>
        </w:rPr>
        <w:t xml:space="preserve"> </w:t>
      </w:r>
      <w:r w:rsidR="00712335" w:rsidRPr="00BF12FC">
        <w:rPr>
          <w:rFonts w:ascii="Verdana" w:hAnsi="Verdana"/>
          <w:sz w:val="22"/>
          <w:szCs w:val="22"/>
        </w:rPr>
        <w:t xml:space="preserve">si è </w:t>
      </w:r>
      <w:r w:rsidR="0006741F" w:rsidRPr="00BF12FC">
        <w:rPr>
          <w:rFonts w:ascii="Verdana" w:hAnsi="Verdana"/>
          <w:sz w:val="22"/>
          <w:szCs w:val="22"/>
        </w:rPr>
        <w:t>risolto</w:t>
      </w:r>
      <w:r w:rsidR="00712335" w:rsidRPr="00BF12FC">
        <w:rPr>
          <w:rFonts w:ascii="Verdana" w:hAnsi="Verdana"/>
          <w:sz w:val="22"/>
          <w:szCs w:val="22"/>
        </w:rPr>
        <w:t xml:space="preserve"> con una condanna</w:t>
      </w:r>
      <w:r w:rsidRPr="00BF12FC">
        <w:rPr>
          <w:rFonts w:ascii="Verdana" w:hAnsi="Verdana"/>
          <w:sz w:val="22"/>
          <w:szCs w:val="22"/>
        </w:rPr>
        <w:t xml:space="preserve">. Ma a che prezzo? L’imbocco del tunnel di un processo civile e penale costituisce una penosa esperienza professionale e umana nella quale si passa, grazie anche a una disinvolta pressione mediatica, da indagato a imputato a condannato, prima ancora che il processo sia iniziato. La maggioranza dei casi si conclude con l’assoluzione. Oggi i profili di responsabilità professionale si muovono lungo il sentiero angusto delineato dell’intersecarsi di 4 codici (deontologico, disciplinare, civile e penale), senza che sia chiaro il primato di ciascuno e le relazioni tra di loro. </w:t>
      </w:r>
    </w:p>
    <w:p w14:paraId="17020520" w14:textId="77777777" w:rsidR="0033674D" w:rsidRPr="00BF12FC" w:rsidRDefault="0033674D" w:rsidP="0033674D">
      <w:pPr>
        <w:spacing w:line="280" w:lineRule="exact"/>
        <w:jc w:val="both"/>
        <w:rPr>
          <w:rFonts w:ascii="Verdana" w:hAnsi="Verdana"/>
          <w:sz w:val="22"/>
          <w:szCs w:val="22"/>
        </w:rPr>
      </w:pPr>
    </w:p>
    <w:p w14:paraId="51E04EE0" w14:textId="237D250E" w:rsidR="0033674D" w:rsidRPr="00BF12FC" w:rsidRDefault="0033674D" w:rsidP="0033674D">
      <w:pPr>
        <w:spacing w:line="280" w:lineRule="exact"/>
        <w:jc w:val="both"/>
        <w:rPr>
          <w:rFonts w:ascii="Verdana" w:hAnsi="Verdana"/>
          <w:sz w:val="22"/>
          <w:szCs w:val="22"/>
        </w:rPr>
      </w:pPr>
      <w:r w:rsidRPr="00BF12FC">
        <w:rPr>
          <w:rFonts w:ascii="Verdana" w:hAnsi="Verdana" w:cs="Arial"/>
          <w:sz w:val="22"/>
          <w:szCs w:val="22"/>
        </w:rPr>
        <w:t>Analizzando i numeri nel dettaglio emerge con chiarezza la gravità della situazione.</w:t>
      </w:r>
    </w:p>
    <w:p w14:paraId="368FDE9D" w14:textId="77777777" w:rsidR="0033674D" w:rsidRPr="00BF12FC" w:rsidRDefault="0033674D" w:rsidP="0033674D">
      <w:pPr>
        <w:spacing w:line="280" w:lineRule="exact"/>
        <w:jc w:val="both"/>
        <w:rPr>
          <w:rFonts w:ascii="Verdana" w:hAnsi="Verdana"/>
          <w:sz w:val="22"/>
          <w:szCs w:val="22"/>
        </w:rPr>
      </w:pPr>
    </w:p>
    <w:p w14:paraId="4B67E510" w14:textId="1F32CB71" w:rsidR="00472A0F" w:rsidRPr="00BF12FC" w:rsidRDefault="00597DFC" w:rsidP="00204991">
      <w:pPr>
        <w:spacing w:line="280" w:lineRule="exact"/>
        <w:jc w:val="both"/>
        <w:outlineLvl w:val="2"/>
        <w:rPr>
          <w:rFonts w:ascii="Verdana" w:hAnsi="Verdana" w:cs="Arial"/>
          <w:sz w:val="22"/>
          <w:szCs w:val="22"/>
        </w:rPr>
      </w:pPr>
      <w:r w:rsidRPr="00BF12FC">
        <w:rPr>
          <w:rFonts w:ascii="Verdana" w:hAnsi="Verdana" w:cs="Arial"/>
          <w:sz w:val="22"/>
          <w:szCs w:val="22"/>
        </w:rPr>
        <w:t xml:space="preserve">Il </w:t>
      </w:r>
      <w:r w:rsidR="00B34B94" w:rsidRPr="00BF12FC">
        <w:rPr>
          <w:rFonts w:ascii="Verdana" w:hAnsi="Verdana" w:cs="Arial"/>
          <w:b/>
          <w:bCs/>
          <w:sz w:val="22"/>
          <w:szCs w:val="22"/>
        </w:rPr>
        <w:t>32,</w:t>
      </w:r>
      <w:r w:rsidR="00497E95">
        <w:rPr>
          <w:rFonts w:ascii="Verdana" w:hAnsi="Verdana" w:cs="Arial"/>
          <w:b/>
          <w:bCs/>
          <w:sz w:val="22"/>
          <w:szCs w:val="22"/>
        </w:rPr>
        <w:t>8</w:t>
      </w:r>
      <w:r w:rsidR="00B34B94" w:rsidRPr="00BF12FC">
        <w:rPr>
          <w:rFonts w:ascii="Verdana" w:hAnsi="Verdana" w:cs="Arial"/>
          <w:b/>
          <w:bCs/>
          <w:sz w:val="22"/>
          <w:szCs w:val="22"/>
        </w:rPr>
        <w:t>%</w:t>
      </w:r>
      <w:r w:rsidR="00D56EFC" w:rsidRPr="00BF12FC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33674D" w:rsidRPr="00BF12FC">
        <w:rPr>
          <w:rFonts w:ascii="Verdana" w:hAnsi="Verdana" w:cs="Arial"/>
          <w:sz w:val="22"/>
          <w:szCs w:val="22"/>
        </w:rPr>
        <w:t xml:space="preserve">dei rispondenti </w:t>
      </w:r>
      <w:r w:rsidR="00B34B94" w:rsidRPr="00BF12FC">
        <w:rPr>
          <w:rFonts w:ascii="Verdana" w:hAnsi="Verdana" w:cs="Arial"/>
          <w:sz w:val="22"/>
          <w:szCs w:val="22"/>
        </w:rPr>
        <w:t xml:space="preserve">ha dichiarato di aver ricevuto almeno una denuncia (civile </w:t>
      </w:r>
      <w:r w:rsidR="003C7495" w:rsidRPr="00BF12FC">
        <w:rPr>
          <w:rFonts w:ascii="Verdana" w:hAnsi="Verdana" w:cs="Arial"/>
          <w:sz w:val="22"/>
          <w:szCs w:val="22"/>
        </w:rPr>
        <w:t>e/o</w:t>
      </w:r>
      <w:r w:rsidR="00B34B94" w:rsidRPr="00BF12FC">
        <w:rPr>
          <w:rFonts w:ascii="Verdana" w:hAnsi="Verdana" w:cs="Arial"/>
          <w:sz w:val="22"/>
          <w:szCs w:val="22"/>
        </w:rPr>
        <w:t xml:space="preserve"> penale) nel corso della propria attività professionale.</w:t>
      </w:r>
      <w:r w:rsidR="00D56EFC" w:rsidRPr="00BF12FC">
        <w:rPr>
          <w:rFonts w:ascii="Verdana" w:hAnsi="Verdana" w:cs="Arial"/>
          <w:sz w:val="22"/>
          <w:szCs w:val="22"/>
        </w:rPr>
        <w:t xml:space="preserve"> </w:t>
      </w:r>
      <w:r w:rsidR="0078739C" w:rsidRPr="00BF12FC">
        <w:rPr>
          <w:rFonts w:ascii="Verdana" w:hAnsi="Verdana" w:cs="Arial"/>
          <w:sz w:val="22"/>
          <w:szCs w:val="22"/>
        </w:rPr>
        <w:t>D</w:t>
      </w:r>
      <w:r w:rsidR="0078739C" w:rsidRPr="00BF12FC">
        <w:rPr>
          <w:rFonts w:ascii="Verdana" w:hAnsi="Verdana"/>
          <w:sz w:val="22"/>
          <w:szCs w:val="22"/>
        </w:rPr>
        <w:t>enunce di</w:t>
      </w:r>
      <w:r w:rsidR="00C4435F" w:rsidRPr="00BF12FC">
        <w:rPr>
          <w:rFonts w:ascii="Verdana" w:hAnsi="Verdana"/>
          <w:sz w:val="22"/>
          <w:szCs w:val="22"/>
        </w:rPr>
        <w:t xml:space="preserve"> tipo penale</w:t>
      </w:r>
      <w:r w:rsidR="00516458" w:rsidRPr="00BF12FC">
        <w:rPr>
          <w:rFonts w:ascii="Verdana" w:hAnsi="Verdana"/>
          <w:sz w:val="22"/>
          <w:szCs w:val="22"/>
        </w:rPr>
        <w:t xml:space="preserve"> nel 43,6% dei casi, civile nel </w:t>
      </w:r>
      <w:r w:rsidR="00C4435F" w:rsidRPr="00BF12FC">
        <w:rPr>
          <w:rFonts w:ascii="Verdana" w:hAnsi="Verdana"/>
          <w:sz w:val="22"/>
          <w:szCs w:val="22"/>
        </w:rPr>
        <w:t>3</w:t>
      </w:r>
      <w:r w:rsidR="00472A0F" w:rsidRPr="00BF12FC">
        <w:rPr>
          <w:rFonts w:ascii="Verdana" w:hAnsi="Verdana"/>
          <w:sz w:val="22"/>
          <w:szCs w:val="22"/>
        </w:rPr>
        <w:t xml:space="preserve">0,8% </w:t>
      </w:r>
      <w:r w:rsidR="0078739C" w:rsidRPr="00BF12FC">
        <w:rPr>
          <w:rFonts w:ascii="Verdana" w:hAnsi="Verdana"/>
          <w:sz w:val="22"/>
          <w:szCs w:val="22"/>
        </w:rPr>
        <w:t xml:space="preserve">e </w:t>
      </w:r>
      <w:r w:rsidR="00C4435F" w:rsidRPr="00BF12FC">
        <w:rPr>
          <w:rFonts w:ascii="Verdana" w:hAnsi="Verdana"/>
          <w:sz w:val="22"/>
          <w:szCs w:val="22"/>
        </w:rPr>
        <w:t>addirittura di entrambe le tipologie</w:t>
      </w:r>
      <w:r w:rsidR="00516458" w:rsidRPr="00BF12FC">
        <w:rPr>
          <w:rFonts w:ascii="Verdana" w:hAnsi="Verdana"/>
          <w:sz w:val="22"/>
          <w:szCs w:val="22"/>
        </w:rPr>
        <w:t xml:space="preserve"> nel 25,6%</w:t>
      </w:r>
      <w:r w:rsidR="00C4435F" w:rsidRPr="00BF12FC">
        <w:rPr>
          <w:rFonts w:ascii="Verdana" w:hAnsi="Verdana"/>
          <w:sz w:val="22"/>
          <w:szCs w:val="22"/>
        </w:rPr>
        <w:t xml:space="preserve">. </w:t>
      </w:r>
      <w:r w:rsidR="0078739C" w:rsidRPr="00BF12FC">
        <w:rPr>
          <w:rFonts w:ascii="Verdana" w:hAnsi="Verdana"/>
          <w:sz w:val="22"/>
          <w:szCs w:val="22"/>
        </w:rPr>
        <w:t xml:space="preserve">Il </w:t>
      </w:r>
      <w:r w:rsidR="0065647E" w:rsidRPr="00BF12FC">
        <w:rPr>
          <w:rFonts w:ascii="Verdana" w:hAnsi="Verdana" w:cs="Arial"/>
          <w:sz w:val="22"/>
          <w:szCs w:val="22"/>
        </w:rPr>
        <w:t>2</w:t>
      </w:r>
      <w:r w:rsidR="00197265" w:rsidRPr="00BF12FC">
        <w:rPr>
          <w:rFonts w:ascii="Verdana" w:hAnsi="Verdana" w:cs="Arial"/>
          <w:sz w:val="22"/>
          <w:szCs w:val="22"/>
        </w:rPr>
        <w:t>2</w:t>
      </w:r>
      <w:r w:rsidR="0065647E" w:rsidRPr="00BF12FC">
        <w:rPr>
          <w:rFonts w:ascii="Verdana" w:hAnsi="Verdana" w:cs="Arial"/>
          <w:sz w:val="22"/>
          <w:szCs w:val="22"/>
        </w:rPr>
        <w:t xml:space="preserve">,3% </w:t>
      </w:r>
      <w:r w:rsidR="0078739C" w:rsidRPr="00BF12FC">
        <w:rPr>
          <w:rFonts w:ascii="Verdana" w:hAnsi="Verdana" w:cs="Arial"/>
          <w:sz w:val="22"/>
          <w:szCs w:val="22"/>
        </w:rPr>
        <w:t>riporta</w:t>
      </w:r>
      <w:r w:rsidR="0065647E" w:rsidRPr="00BF12FC">
        <w:rPr>
          <w:rFonts w:ascii="Verdana" w:hAnsi="Verdana" w:cs="Arial"/>
          <w:sz w:val="22"/>
          <w:szCs w:val="22"/>
        </w:rPr>
        <w:t xml:space="preserve"> di avere ricevuto almeno una denuncia penale nel corso della propria carriera</w:t>
      </w:r>
      <w:r w:rsidR="00197265" w:rsidRPr="00BF12FC">
        <w:rPr>
          <w:rFonts w:ascii="Verdana" w:hAnsi="Verdana" w:cs="Arial"/>
          <w:sz w:val="22"/>
          <w:szCs w:val="22"/>
        </w:rPr>
        <w:t xml:space="preserve">, </w:t>
      </w:r>
      <w:r w:rsidR="0078739C" w:rsidRPr="00BF12FC">
        <w:rPr>
          <w:rFonts w:ascii="Verdana" w:hAnsi="Verdana" w:cs="Arial"/>
          <w:sz w:val="22"/>
          <w:szCs w:val="22"/>
        </w:rPr>
        <w:t xml:space="preserve">il </w:t>
      </w:r>
      <w:r w:rsidR="0078739C" w:rsidRPr="00BF12FC">
        <w:rPr>
          <w:rFonts w:ascii="Verdana" w:hAnsi="Verdana"/>
          <w:sz w:val="22"/>
          <w:szCs w:val="22"/>
        </w:rPr>
        <w:t>35</w:t>
      </w:r>
      <w:r w:rsidR="00472A0F" w:rsidRPr="00BF12FC">
        <w:rPr>
          <w:rFonts w:ascii="Verdana" w:hAnsi="Verdana"/>
          <w:sz w:val="22"/>
          <w:szCs w:val="22"/>
        </w:rPr>
        <w:t>,6 % d</w:t>
      </w:r>
      <w:r w:rsidR="0065647E" w:rsidRPr="00BF12FC">
        <w:rPr>
          <w:rFonts w:ascii="Verdana" w:hAnsi="Verdana"/>
          <w:sz w:val="22"/>
          <w:szCs w:val="22"/>
        </w:rPr>
        <w:t>i loro</w:t>
      </w:r>
      <w:r w:rsidR="00516458" w:rsidRPr="00BF12FC">
        <w:rPr>
          <w:rFonts w:ascii="Verdana" w:hAnsi="Verdana"/>
          <w:sz w:val="22"/>
          <w:szCs w:val="22"/>
        </w:rPr>
        <w:t xml:space="preserve"> </w:t>
      </w:r>
      <w:r w:rsidR="00472A0F" w:rsidRPr="00BF12FC">
        <w:rPr>
          <w:rFonts w:ascii="Verdana" w:hAnsi="Verdana"/>
          <w:sz w:val="22"/>
          <w:szCs w:val="22"/>
        </w:rPr>
        <w:t>più di una denuncia</w:t>
      </w:r>
      <w:r w:rsidRPr="00BF12FC">
        <w:rPr>
          <w:rFonts w:ascii="Verdana" w:hAnsi="Verdana"/>
          <w:sz w:val="22"/>
          <w:szCs w:val="22"/>
        </w:rPr>
        <w:t>.</w:t>
      </w:r>
      <w:r w:rsidR="00D56EFC" w:rsidRPr="00BF12FC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488E4B09" w14:textId="77777777" w:rsidR="0078739C" w:rsidRPr="00BF12FC" w:rsidRDefault="0078739C" w:rsidP="00204991">
      <w:pPr>
        <w:spacing w:line="280" w:lineRule="exact"/>
        <w:jc w:val="both"/>
        <w:rPr>
          <w:rFonts w:ascii="Verdana" w:hAnsi="Verdana" w:cs="Arial"/>
          <w:sz w:val="22"/>
          <w:szCs w:val="22"/>
        </w:rPr>
      </w:pPr>
    </w:p>
    <w:p w14:paraId="61AFBD4C" w14:textId="739197E4" w:rsidR="00B34B94" w:rsidRPr="00BF12FC" w:rsidRDefault="00C4435F" w:rsidP="00204991">
      <w:pPr>
        <w:spacing w:line="280" w:lineRule="exact"/>
        <w:jc w:val="both"/>
        <w:outlineLvl w:val="2"/>
        <w:rPr>
          <w:rFonts w:ascii="Verdana" w:hAnsi="Verdana" w:cs="Arial"/>
          <w:sz w:val="22"/>
          <w:szCs w:val="22"/>
        </w:rPr>
      </w:pPr>
      <w:r w:rsidRPr="00BF12FC">
        <w:rPr>
          <w:rFonts w:ascii="Verdana" w:hAnsi="Verdana" w:cs="Arial"/>
          <w:sz w:val="22"/>
          <w:szCs w:val="22"/>
        </w:rPr>
        <w:t>La d</w:t>
      </w:r>
      <w:r w:rsidR="00B34B94" w:rsidRPr="00BF12FC">
        <w:rPr>
          <w:rFonts w:ascii="Verdana" w:hAnsi="Verdana" w:cs="Arial"/>
          <w:sz w:val="22"/>
          <w:szCs w:val="22"/>
        </w:rPr>
        <w:t xml:space="preserve">istribuzione delle denunce per </w:t>
      </w:r>
      <w:r w:rsidR="0078739C" w:rsidRPr="00BF12FC">
        <w:rPr>
          <w:rFonts w:ascii="Verdana" w:hAnsi="Verdana" w:cs="Arial"/>
          <w:b/>
          <w:bCs/>
          <w:sz w:val="22"/>
          <w:szCs w:val="22"/>
        </w:rPr>
        <w:t xml:space="preserve">specializzazione </w:t>
      </w:r>
      <w:r w:rsidR="0078739C" w:rsidRPr="00BF12FC">
        <w:rPr>
          <w:rFonts w:ascii="Verdana" w:hAnsi="Verdana" w:cs="Arial"/>
          <w:sz w:val="22"/>
          <w:szCs w:val="22"/>
        </w:rPr>
        <w:t>vede</w:t>
      </w:r>
      <w:r w:rsidRPr="00BF12FC">
        <w:rPr>
          <w:rFonts w:ascii="Verdana" w:hAnsi="Verdana" w:cs="Arial"/>
          <w:sz w:val="22"/>
          <w:szCs w:val="22"/>
        </w:rPr>
        <w:t xml:space="preserve"> ai primi posti</w:t>
      </w:r>
      <w:r w:rsidR="00597DFC" w:rsidRPr="00BF12FC">
        <w:rPr>
          <w:rFonts w:ascii="Verdana" w:hAnsi="Verdana" w:cs="Arial"/>
          <w:sz w:val="22"/>
          <w:szCs w:val="22"/>
        </w:rPr>
        <w:t xml:space="preserve"> </w:t>
      </w:r>
      <w:r w:rsidR="00B34B94" w:rsidRPr="00BF12FC">
        <w:rPr>
          <w:rFonts w:ascii="Verdana" w:hAnsi="Verdana" w:cs="Arial"/>
          <w:sz w:val="22"/>
          <w:szCs w:val="22"/>
        </w:rPr>
        <w:t>Ginecologia: 70%</w:t>
      </w:r>
      <w:r w:rsidR="0078739C" w:rsidRPr="00BF12FC">
        <w:rPr>
          <w:rFonts w:ascii="Verdana" w:hAnsi="Verdana" w:cs="Arial"/>
          <w:sz w:val="22"/>
          <w:szCs w:val="22"/>
        </w:rPr>
        <w:t>, Cardiochirurgia</w:t>
      </w:r>
      <w:r w:rsidR="00B34B94" w:rsidRPr="00BF12FC">
        <w:rPr>
          <w:rFonts w:ascii="Verdana" w:hAnsi="Verdana" w:cs="Arial"/>
          <w:sz w:val="22"/>
          <w:szCs w:val="22"/>
        </w:rPr>
        <w:t>: 70%</w:t>
      </w:r>
      <w:r w:rsidR="0078739C" w:rsidRPr="00BF12FC">
        <w:rPr>
          <w:rFonts w:ascii="Verdana" w:hAnsi="Verdana" w:cs="Arial"/>
          <w:sz w:val="22"/>
          <w:szCs w:val="22"/>
        </w:rPr>
        <w:t>, Chirurgia</w:t>
      </w:r>
      <w:r w:rsidR="00B34B94" w:rsidRPr="00BF12FC">
        <w:rPr>
          <w:rFonts w:ascii="Verdana" w:hAnsi="Verdana" w:cs="Arial"/>
          <w:sz w:val="22"/>
          <w:szCs w:val="22"/>
        </w:rPr>
        <w:t xml:space="preserve"> generale</w:t>
      </w:r>
      <w:r w:rsidR="0033674D" w:rsidRPr="00BF12FC">
        <w:rPr>
          <w:rFonts w:ascii="Verdana" w:hAnsi="Verdana" w:cs="Arial"/>
          <w:sz w:val="22"/>
          <w:szCs w:val="22"/>
        </w:rPr>
        <w:t xml:space="preserve"> </w:t>
      </w:r>
      <w:r w:rsidR="00B34B94" w:rsidRPr="00BF12FC">
        <w:rPr>
          <w:rFonts w:ascii="Verdana" w:hAnsi="Verdana" w:cs="Arial"/>
          <w:sz w:val="22"/>
          <w:szCs w:val="22"/>
        </w:rPr>
        <w:t>66,2%</w:t>
      </w:r>
      <w:r w:rsidRPr="00BF12FC">
        <w:rPr>
          <w:rFonts w:ascii="Verdana" w:hAnsi="Verdana" w:cs="Arial"/>
          <w:sz w:val="22"/>
          <w:szCs w:val="22"/>
        </w:rPr>
        <w:t xml:space="preserve">. A seguire </w:t>
      </w:r>
      <w:r w:rsidR="00B34B94" w:rsidRPr="00BF12FC">
        <w:rPr>
          <w:rFonts w:ascii="Verdana" w:hAnsi="Verdana" w:cs="Arial"/>
          <w:sz w:val="22"/>
          <w:szCs w:val="22"/>
        </w:rPr>
        <w:t>Ortopedia: 65,2%</w:t>
      </w:r>
      <w:r w:rsidR="0078739C" w:rsidRPr="00BF12FC">
        <w:rPr>
          <w:rFonts w:ascii="Verdana" w:hAnsi="Verdana" w:cs="Arial"/>
          <w:sz w:val="22"/>
          <w:szCs w:val="22"/>
        </w:rPr>
        <w:t>, Pronto</w:t>
      </w:r>
      <w:r w:rsidR="00B34B94" w:rsidRPr="00BF12FC">
        <w:rPr>
          <w:rFonts w:ascii="Verdana" w:hAnsi="Verdana" w:cs="Arial"/>
          <w:sz w:val="22"/>
          <w:szCs w:val="22"/>
        </w:rPr>
        <w:t xml:space="preserve"> Soccorso (PS): 53,3%</w:t>
      </w:r>
      <w:r w:rsidR="0078739C" w:rsidRPr="00BF12FC">
        <w:rPr>
          <w:rFonts w:ascii="Verdana" w:hAnsi="Verdana" w:cs="Arial"/>
          <w:sz w:val="22"/>
          <w:szCs w:val="22"/>
        </w:rPr>
        <w:t>, Cardiologia</w:t>
      </w:r>
      <w:r w:rsidR="00B34B94" w:rsidRPr="00BF12FC">
        <w:rPr>
          <w:rFonts w:ascii="Verdana" w:hAnsi="Verdana" w:cs="Arial"/>
          <w:sz w:val="22"/>
          <w:szCs w:val="22"/>
        </w:rPr>
        <w:t>: 44,9%</w:t>
      </w:r>
      <w:r w:rsidR="0078739C" w:rsidRPr="00BF12FC">
        <w:rPr>
          <w:rFonts w:ascii="Verdana" w:hAnsi="Verdana" w:cs="Arial"/>
          <w:sz w:val="22"/>
          <w:szCs w:val="22"/>
        </w:rPr>
        <w:t>, Medicina</w:t>
      </w:r>
      <w:r w:rsidR="00B34B94" w:rsidRPr="00BF12FC">
        <w:rPr>
          <w:rFonts w:ascii="Verdana" w:hAnsi="Verdana" w:cs="Arial"/>
          <w:sz w:val="22"/>
          <w:szCs w:val="22"/>
        </w:rPr>
        <w:t xml:space="preserve"> interna: 42%</w:t>
      </w:r>
      <w:r w:rsidR="0078739C" w:rsidRPr="00BF12FC">
        <w:rPr>
          <w:rFonts w:ascii="Verdana" w:hAnsi="Verdana" w:cs="Arial"/>
          <w:sz w:val="22"/>
          <w:szCs w:val="22"/>
        </w:rPr>
        <w:t>, Radiologia</w:t>
      </w:r>
      <w:r w:rsidR="00B34B94" w:rsidRPr="00BF12FC">
        <w:rPr>
          <w:rFonts w:ascii="Verdana" w:hAnsi="Verdana" w:cs="Arial"/>
          <w:sz w:val="22"/>
          <w:szCs w:val="22"/>
        </w:rPr>
        <w:t>: 38,6%</w:t>
      </w:r>
      <w:r w:rsidR="0078739C" w:rsidRPr="00BF12FC">
        <w:rPr>
          <w:rFonts w:ascii="Verdana" w:hAnsi="Verdana" w:cs="Arial"/>
          <w:sz w:val="22"/>
          <w:szCs w:val="22"/>
        </w:rPr>
        <w:t>, Anestesia</w:t>
      </w:r>
      <w:r w:rsidR="00B34B94" w:rsidRPr="00BF12FC">
        <w:rPr>
          <w:rFonts w:ascii="Verdana" w:hAnsi="Verdana" w:cs="Arial"/>
          <w:sz w:val="22"/>
          <w:szCs w:val="22"/>
        </w:rPr>
        <w:t>: 37,3%</w:t>
      </w:r>
      <w:r w:rsidR="0078739C" w:rsidRPr="00BF12FC">
        <w:rPr>
          <w:rFonts w:ascii="Verdana" w:hAnsi="Verdana" w:cs="Arial"/>
          <w:sz w:val="22"/>
          <w:szCs w:val="22"/>
        </w:rPr>
        <w:t>, Direzione</w:t>
      </w:r>
      <w:r w:rsidR="00B34B94" w:rsidRPr="00BF12FC">
        <w:rPr>
          <w:rFonts w:ascii="Verdana" w:hAnsi="Verdana" w:cs="Arial"/>
          <w:sz w:val="22"/>
          <w:szCs w:val="22"/>
        </w:rPr>
        <w:t xml:space="preserve"> medica di presidio ospedaliero</w:t>
      </w:r>
      <w:r w:rsidR="0033674D" w:rsidRPr="00BF12FC">
        <w:rPr>
          <w:rFonts w:ascii="Verdana" w:hAnsi="Verdana" w:cs="Arial"/>
          <w:sz w:val="22"/>
          <w:szCs w:val="22"/>
        </w:rPr>
        <w:t xml:space="preserve"> </w:t>
      </w:r>
      <w:r w:rsidR="00B34B94" w:rsidRPr="00BF12FC">
        <w:rPr>
          <w:rFonts w:ascii="Verdana" w:hAnsi="Verdana" w:cs="Arial"/>
          <w:sz w:val="22"/>
          <w:szCs w:val="22"/>
        </w:rPr>
        <w:t>38,5%</w:t>
      </w:r>
      <w:r w:rsidR="0078739C" w:rsidRPr="00BF12FC">
        <w:rPr>
          <w:rFonts w:ascii="Verdana" w:hAnsi="Verdana" w:cs="Arial"/>
          <w:sz w:val="22"/>
          <w:szCs w:val="22"/>
        </w:rPr>
        <w:t>, Psichiatria</w:t>
      </w:r>
      <w:r w:rsidR="00B34B94" w:rsidRPr="00BF12FC">
        <w:rPr>
          <w:rFonts w:ascii="Verdana" w:hAnsi="Verdana" w:cs="Arial"/>
          <w:sz w:val="22"/>
          <w:szCs w:val="22"/>
        </w:rPr>
        <w:t>: 16,3%</w:t>
      </w:r>
      <w:r w:rsidR="00546508" w:rsidRPr="00BF12FC">
        <w:rPr>
          <w:rFonts w:ascii="Verdana" w:hAnsi="Verdana" w:cs="Arial"/>
          <w:sz w:val="22"/>
          <w:szCs w:val="22"/>
        </w:rPr>
        <w:t>.</w:t>
      </w:r>
    </w:p>
    <w:p w14:paraId="03151C09" w14:textId="5AFCDA39" w:rsidR="00B34B94" w:rsidRPr="00BF12FC" w:rsidRDefault="00C4435F" w:rsidP="00204991">
      <w:pPr>
        <w:spacing w:line="280" w:lineRule="exact"/>
        <w:jc w:val="both"/>
        <w:outlineLvl w:val="2"/>
        <w:rPr>
          <w:rFonts w:ascii="Verdana" w:hAnsi="Verdana" w:cs="Arial"/>
          <w:sz w:val="22"/>
          <w:szCs w:val="22"/>
        </w:rPr>
      </w:pPr>
      <w:r w:rsidRPr="00BF12FC">
        <w:rPr>
          <w:rFonts w:ascii="Verdana" w:hAnsi="Verdana" w:cs="Arial"/>
          <w:sz w:val="22"/>
          <w:szCs w:val="22"/>
        </w:rPr>
        <w:t xml:space="preserve">Anche la </w:t>
      </w:r>
      <w:r w:rsidR="00B34B94" w:rsidRPr="00BF12FC">
        <w:rPr>
          <w:rFonts w:ascii="Verdana" w:hAnsi="Verdana" w:cs="Arial"/>
          <w:sz w:val="22"/>
          <w:szCs w:val="22"/>
        </w:rPr>
        <w:t>Distribuzione per macro-area disciplinare</w:t>
      </w:r>
      <w:r w:rsidRPr="00BF12FC">
        <w:rPr>
          <w:rFonts w:ascii="Verdana" w:hAnsi="Verdana" w:cs="Arial"/>
          <w:sz w:val="22"/>
          <w:szCs w:val="22"/>
        </w:rPr>
        <w:t xml:space="preserve"> vede al primo posto la </w:t>
      </w:r>
      <w:r w:rsidR="00B34B94" w:rsidRPr="00BF12FC">
        <w:rPr>
          <w:rFonts w:ascii="Verdana" w:hAnsi="Verdana" w:cs="Arial"/>
          <w:sz w:val="22"/>
          <w:szCs w:val="22"/>
        </w:rPr>
        <w:t>Area chirurgica: 239 su 393 (60,8%</w:t>
      </w:r>
      <w:r w:rsidR="0078739C" w:rsidRPr="00BF12FC">
        <w:rPr>
          <w:rFonts w:ascii="Verdana" w:hAnsi="Verdana" w:cs="Arial"/>
          <w:sz w:val="22"/>
          <w:szCs w:val="22"/>
        </w:rPr>
        <w:t>), seguita</w:t>
      </w:r>
      <w:r w:rsidRPr="00BF12FC">
        <w:rPr>
          <w:rFonts w:ascii="Verdana" w:hAnsi="Verdana" w:cs="Arial"/>
          <w:sz w:val="22"/>
          <w:szCs w:val="22"/>
        </w:rPr>
        <w:t xml:space="preserve"> da </w:t>
      </w:r>
      <w:r w:rsidR="00B34B94" w:rsidRPr="00BF12FC">
        <w:rPr>
          <w:rFonts w:ascii="Verdana" w:hAnsi="Verdana" w:cs="Arial"/>
          <w:sz w:val="22"/>
          <w:szCs w:val="22"/>
        </w:rPr>
        <w:t>Area medica: 296 su 929 (31,9</w:t>
      </w:r>
      <w:r w:rsidR="0078739C" w:rsidRPr="00BF12FC">
        <w:rPr>
          <w:rFonts w:ascii="Verdana" w:hAnsi="Verdana" w:cs="Arial"/>
          <w:sz w:val="22"/>
          <w:szCs w:val="22"/>
        </w:rPr>
        <w:t>%) e</w:t>
      </w:r>
      <w:r w:rsidRPr="00BF12FC">
        <w:rPr>
          <w:rFonts w:ascii="Verdana" w:hAnsi="Verdana" w:cs="Arial"/>
          <w:sz w:val="22"/>
          <w:szCs w:val="22"/>
        </w:rPr>
        <w:t xml:space="preserve"> </w:t>
      </w:r>
      <w:r w:rsidR="00B34B94" w:rsidRPr="00BF12FC">
        <w:rPr>
          <w:rFonts w:ascii="Verdana" w:hAnsi="Verdana" w:cs="Arial"/>
          <w:sz w:val="22"/>
          <w:szCs w:val="22"/>
        </w:rPr>
        <w:t>Area dei servizi: 89 su 584 (15,2%)</w:t>
      </w:r>
      <w:r w:rsidR="0078739C" w:rsidRPr="00BF12FC">
        <w:rPr>
          <w:rFonts w:ascii="Verdana" w:hAnsi="Verdana" w:cs="Arial"/>
          <w:sz w:val="22"/>
          <w:szCs w:val="22"/>
        </w:rPr>
        <w:t>.</w:t>
      </w:r>
    </w:p>
    <w:p w14:paraId="66A4D793" w14:textId="77777777" w:rsidR="0078739C" w:rsidRPr="00BF12FC" w:rsidRDefault="0078739C" w:rsidP="00204991">
      <w:pPr>
        <w:spacing w:line="280" w:lineRule="exact"/>
        <w:jc w:val="both"/>
        <w:outlineLvl w:val="2"/>
        <w:rPr>
          <w:rFonts w:ascii="Verdana" w:hAnsi="Verdana" w:cs="Arial"/>
          <w:sz w:val="22"/>
          <w:szCs w:val="22"/>
        </w:rPr>
      </w:pPr>
    </w:p>
    <w:p w14:paraId="7B764776" w14:textId="14695327" w:rsidR="00B34B94" w:rsidRPr="00BF12FC" w:rsidRDefault="00C4435F" w:rsidP="00204991">
      <w:pPr>
        <w:spacing w:line="280" w:lineRule="exact"/>
        <w:jc w:val="both"/>
        <w:outlineLvl w:val="2"/>
        <w:rPr>
          <w:rFonts w:ascii="Verdana" w:hAnsi="Verdana" w:cs="Arial"/>
          <w:sz w:val="22"/>
          <w:szCs w:val="22"/>
        </w:rPr>
      </w:pPr>
      <w:r w:rsidRPr="00BF12FC">
        <w:rPr>
          <w:rFonts w:ascii="Verdana" w:hAnsi="Verdana" w:cs="Arial"/>
          <w:b/>
          <w:bCs/>
          <w:sz w:val="22"/>
          <w:szCs w:val="22"/>
        </w:rPr>
        <w:t xml:space="preserve">La </w:t>
      </w:r>
      <w:r w:rsidR="00B03F97" w:rsidRPr="00BF12FC">
        <w:rPr>
          <w:rFonts w:ascii="Verdana" w:hAnsi="Verdana" w:cs="Arial"/>
          <w:b/>
          <w:bCs/>
          <w:sz w:val="22"/>
          <w:szCs w:val="22"/>
        </w:rPr>
        <w:t>d</w:t>
      </w:r>
      <w:r w:rsidR="00B34B94" w:rsidRPr="00BF12FC">
        <w:rPr>
          <w:rFonts w:ascii="Verdana" w:hAnsi="Verdana" w:cs="Arial"/>
          <w:b/>
          <w:bCs/>
          <w:sz w:val="22"/>
          <w:szCs w:val="22"/>
        </w:rPr>
        <w:t>istribuzione geografica</w:t>
      </w:r>
      <w:r w:rsidRPr="00BF12FC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516458" w:rsidRPr="00BF12FC">
        <w:rPr>
          <w:rFonts w:ascii="Verdana" w:hAnsi="Verdana" w:cs="Arial"/>
          <w:sz w:val="22"/>
          <w:szCs w:val="22"/>
        </w:rPr>
        <w:t xml:space="preserve">segna una </w:t>
      </w:r>
      <w:r w:rsidR="0078739C" w:rsidRPr="00BF12FC">
        <w:rPr>
          <w:rFonts w:ascii="Verdana" w:hAnsi="Verdana" w:cs="Arial"/>
          <w:sz w:val="22"/>
          <w:szCs w:val="22"/>
        </w:rPr>
        <w:t>prevalenza al</w:t>
      </w:r>
      <w:r w:rsidRPr="00BF12FC">
        <w:rPr>
          <w:rFonts w:ascii="Verdana" w:hAnsi="Verdana" w:cs="Arial"/>
          <w:sz w:val="22"/>
          <w:szCs w:val="22"/>
        </w:rPr>
        <w:t xml:space="preserve"> Sud e Isole</w:t>
      </w:r>
      <w:r w:rsidR="0033674D" w:rsidRPr="00BF12FC">
        <w:rPr>
          <w:rFonts w:ascii="Verdana" w:hAnsi="Verdana" w:cs="Arial"/>
          <w:sz w:val="22"/>
          <w:szCs w:val="22"/>
        </w:rPr>
        <w:t xml:space="preserve"> con una percentuale del </w:t>
      </w:r>
      <w:r w:rsidRPr="00BF12FC">
        <w:rPr>
          <w:rFonts w:ascii="Verdana" w:hAnsi="Verdana" w:cs="Arial"/>
          <w:sz w:val="22"/>
          <w:szCs w:val="22"/>
        </w:rPr>
        <w:t xml:space="preserve">39,8%. </w:t>
      </w:r>
      <w:r w:rsidR="0033674D" w:rsidRPr="00BF12FC">
        <w:rPr>
          <w:rFonts w:ascii="Verdana" w:hAnsi="Verdana" w:cs="Arial"/>
          <w:sz w:val="22"/>
          <w:szCs w:val="22"/>
        </w:rPr>
        <w:t>Al secondo posto</w:t>
      </w:r>
      <w:r w:rsidR="00516458" w:rsidRPr="00BF12FC">
        <w:rPr>
          <w:rFonts w:ascii="Verdana" w:hAnsi="Verdana" w:cs="Arial"/>
          <w:sz w:val="22"/>
          <w:szCs w:val="22"/>
        </w:rPr>
        <w:t xml:space="preserve"> </w:t>
      </w:r>
      <w:r w:rsidR="0078739C" w:rsidRPr="00BF12FC">
        <w:rPr>
          <w:rFonts w:ascii="Verdana" w:hAnsi="Verdana" w:cs="Arial"/>
          <w:sz w:val="22"/>
          <w:szCs w:val="22"/>
        </w:rPr>
        <w:t>il Centro</w:t>
      </w:r>
      <w:r w:rsidR="00516458" w:rsidRPr="00BF12FC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516458" w:rsidRPr="00BF12FC">
        <w:rPr>
          <w:rFonts w:ascii="Verdana" w:hAnsi="Verdana" w:cs="Arial"/>
          <w:sz w:val="22"/>
          <w:szCs w:val="22"/>
        </w:rPr>
        <w:t>Italia (38,2%), e</w:t>
      </w:r>
      <w:r w:rsidR="0033674D" w:rsidRPr="00BF12FC">
        <w:rPr>
          <w:rFonts w:ascii="Verdana" w:hAnsi="Verdana" w:cs="Arial"/>
          <w:sz w:val="22"/>
          <w:szCs w:val="22"/>
        </w:rPr>
        <w:t xml:space="preserve"> al terzo posto</w:t>
      </w:r>
      <w:r w:rsidR="0078739C" w:rsidRPr="00BF12FC">
        <w:rPr>
          <w:rFonts w:ascii="Verdana" w:hAnsi="Verdana" w:cs="Arial"/>
          <w:sz w:val="22"/>
          <w:szCs w:val="22"/>
        </w:rPr>
        <w:t xml:space="preserve"> Nord</w:t>
      </w:r>
      <w:r w:rsidR="0078739C" w:rsidRPr="00BF12FC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33674D" w:rsidRPr="00BF12FC">
        <w:rPr>
          <w:rFonts w:ascii="Verdana" w:hAnsi="Verdana" w:cs="Arial"/>
          <w:sz w:val="22"/>
          <w:szCs w:val="22"/>
        </w:rPr>
        <w:t>(</w:t>
      </w:r>
      <w:r w:rsidR="00B34B94" w:rsidRPr="00BF12FC">
        <w:rPr>
          <w:rFonts w:ascii="Verdana" w:hAnsi="Verdana" w:cs="Arial"/>
          <w:sz w:val="22"/>
          <w:szCs w:val="22"/>
        </w:rPr>
        <w:t>27,2</w:t>
      </w:r>
      <w:r w:rsidR="0033674D" w:rsidRPr="00BF12FC">
        <w:rPr>
          <w:rFonts w:ascii="Verdana" w:hAnsi="Verdana" w:cs="Arial"/>
          <w:sz w:val="22"/>
          <w:szCs w:val="22"/>
        </w:rPr>
        <w:t>%).</w:t>
      </w:r>
    </w:p>
    <w:p w14:paraId="3AD4E8D4" w14:textId="5DC53B60" w:rsidR="00B34B94" w:rsidRPr="00BF12FC" w:rsidRDefault="00516458" w:rsidP="00204991">
      <w:pPr>
        <w:spacing w:line="280" w:lineRule="exact"/>
        <w:jc w:val="both"/>
        <w:rPr>
          <w:rFonts w:ascii="Verdana" w:hAnsi="Verdana" w:cs="Arial"/>
          <w:sz w:val="22"/>
          <w:szCs w:val="22"/>
        </w:rPr>
      </w:pPr>
      <w:r w:rsidRPr="00BF12FC">
        <w:rPr>
          <w:rFonts w:ascii="Verdana" w:hAnsi="Verdana" w:cs="Arial"/>
          <w:sz w:val="22"/>
          <w:szCs w:val="22"/>
        </w:rPr>
        <w:t>Se guardiamo,</w:t>
      </w:r>
      <w:r w:rsidR="0078739C" w:rsidRPr="00BF12FC">
        <w:rPr>
          <w:rFonts w:ascii="Verdana" w:hAnsi="Verdana" w:cs="Arial"/>
          <w:sz w:val="22"/>
          <w:szCs w:val="22"/>
        </w:rPr>
        <w:t xml:space="preserve"> </w:t>
      </w:r>
      <w:r w:rsidRPr="00BF12FC">
        <w:rPr>
          <w:rFonts w:ascii="Verdana" w:hAnsi="Verdana" w:cs="Arial"/>
          <w:sz w:val="22"/>
          <w:szCs w:val="22"/>
        </w:rPr>
        <w:t>poi,</w:t>
      </w:r>
      <w:r w:rsidR="0078739C" w:rsidRPr="00BF12FC">
        <w:rPr>
          <w:rFonts w:ascii="Verdana" w:hAnsi="Verdana" w:cs="Arial"/>
          <w:sz w:val="22"/>
          <w:szCs w:val="22"/>
        </w:rPr>
        <w:t xml:space="preserve"> </w:t>
      </w:r>
      <w:r w:rsidRPr="00BF12FC">
        <w:rPr>
          <w:rFonts w:ascii="Verdana" w:hAnsi="Verdana" w:cs="Arial"/>
          <w:sz w:val="22"/>
          <w:szCs w:val="22"/>
        </w:rPr>
        <w:t>alla loro d</w:t>
      </w:r>
      <w:r w:rsidR="00B34B94" w:rsidRPr="00BF12FC">
        <w:rPr>
          <w:rFonts w:ascii="Verdana" w:hAnsi="Verdana" w:cs="Arial"/>
          <w:sz w:val="22"/>
          <w:szCs w:val="22"/>
        </w:rPr>
        <w:t>istribuzione in base alla dimensione della struttura ospedaliera</w:t>
      </w:r>
      <w:r w:rsidRPr="00BF12FC">
        <w:rPr>
          <w:rFonts w:ascii="Verdana" w:hAnsi="Verdana" w:cs="Arial"/>
          <w:sz w:val="22"/>
          <w:szCs w:val="22"/>
        </w:rPr>
        <w:t xml:space="preserve">, il primato spetta agli </w:t>
      </w:r>
      <w:r w:rsidR="00B34B94" w:rsidRPr="00BF12FC">
        <w:rPr>
          <w:rFonts w:ascii="Verdana" w:hAnsi="Verdana" w:cs="Arial"/>
          <w:sz w:val="22"/>
          <w:szCs w:val="22"/>
        </w:rPr>
        <w:t xml:space="preserve">Ospedali con </w:t>
      </w:r>
      <w:r w:rsidR="0033674D" w:rsidRPr="00BF12FC">
        <w:rPr>
          <w:rFonts w:ascii="Verdana" w:hAnsi="Verdana" w:cs="Arial"/>
          <w:sz w:val="22"/>
          <w:szCs w:val="22"/>
        </w:rPr>
        <w:t>meno di</w:t>
      </w:r>
      <w:r w:rsidR="00B34B94" w:rsidRPr="00BF12FC">
        <w:rPr>
          <w:rFonts w:ascii="Verdana" w:hAnsi="Verdana" w:cs="Arial"/>
          <w:sz w:val="22"/>
          <w:szCs w:val="22"/>
        </w:rPr>
        <w:t xml:space="preserve"> 500 posti letto</w:t>
      </w:r>
      <w:r w:rsidR="00FE071E" w:rsidRPr="00BF12FC">
        <w:rPr>
          <w:rFonts w:ascii="Verdana" w:hAnsi="Verdana" w:cs="Arial"/>
          <w:sz w:val="22"/>
          <w:szCs w:val="22"/>
        </w:rPr>
        <w:t xml:space="preserve"> </w:t>
      </w:r>
      <w:r w:rsidR="00B34B94" w:rsidRPr="00BF12FC">
        <w:rPr>
          <w:rFonts w:ascii="Verdana" w:hAnsi="Verdana" w:cs="Arial"/>
          <w:sz w:val="22"/>
          <w:szCs w:val="22"/>
        </w:rPr>
        <w:t>(37,6%)</w:t>
      </w:r>
      <w:r w:rsidR="00AB52DE" w:rsidRPr="00BF12FC">
        <w:rPr>
          <w:rFonts w:ascii="Verdana" w:hAnsi="Verdana" w:cs="Arial"/>
          <w:sz w:val="22"/>
          <w:szCs w:val="22"/>
        </w:rPr>
        <w:t xml:space="preserve">, seguiti da quelli dotati di un numero di posti letto compresi tra </w:t>
      </w:r>
      <w:r w:rsidR="00B34B94" w:rsidRPr="00BF12FC">
        <w:rPr>
          <w:rFonts w:ascii="Verdana" w:hAnsi="Verdana" w:cs="Arial"/>
          <w:b/>
          <w:bCs/>
          <w:sz w:val="22"/>
          <w:szCs w:val="22"/>
        </w:rPr>
        <w:t xml:space="preserve">a 500 e 1000 </w:t>
      </w:r>
      <w:r w:rsidR="00B34B94" w:rsidRPr="00BF12FC">
        <w:rPr>
          <w:rFonts w:ascii="Verdana" w:hAnsi="Verdana" w:cs="Arial"/>
          <w:sz w:val="22"/>
          <w:szCs w:val="22"/>
        </w:rPr>
        <w:t>32,2%</w:t>
      </w:r>
      <w:r w:rsidR="0033674D" w:rsidRPr="00BF12FC">
        <w:rPr>
          <w:rFonts w:ascii="Verdana" w:hAnsi="Verdana" w:cs="Arial"/>
          <w:sz w:val="22"/>
          <w:szCs w:val="22"/>
        </w:rPr>
        <w:t>.</w:t>
      </w:r>
      <w:r w:rsidR="00AB52DE" w:rsidRPr="00BF12FC">
        <w:rPr>
          <w:rFonts w:ascii="Verdana" w:hAnsi="Verdana" w:cs="Arial"/>
          <w:sz w:val="22"/>
          <w:szCs w:val="22"/>
        </w:rPr>
        <w:t xml:space="preserve"> Quelli con </w:t>
      </w:r>
      <w:r w:rsidR="0033674D" w:rsidRPr="00BF12FC">
        <w:rPr>
          <w:rFonts w:ascii="Verdana" w:hAnsi="Verdana" w:cs="Arial"/>
          <w:b/>
          <w:bCs/>
          <w:sz w:val="22"/>
          <w:szCs w:val="22"/>
        </w:rPr>
        <w:t>o</w:t>
      </w:r>
      <w:r w:rsidR="00B34B94" w:rsidRPr="00BF12FC">
        <w:rPr>
          <w:rFonts w:ascii="Verdana" w:hAnsi="Verdana" w:cs="Arial"/>
          <w:b/>
          <w:bCs/>
          <w:sz w:val="22"/>
          <w:szCs w:val="22"/>
        </w:rPr>
        <w:t>ltre 1000 posti letto</w:t>
      </w:r>
      <w:r w:rsidR="00AB52DE" w:rsidRPr="00BF12FC">
        <w:rPr>
          <w:rFonts w:ascii="Verdana" w:hAnsi="Verdana" w:cs="Arial"/>
          <w:b/>
          <w:bCs/>
          <w:sz w:val="22"/>
          <w:szCs w:val="22"/>
        </w:rPr>
        <w:t xml:space="preserve"> registrano il tasso </w:t>
      </w:r>
      <w:r w:rsidR="0033674D" w:rsidRPr="00BF12FC">
        <w:rPr>
          <w:rFonts w:ascii="Verdana" w:hAnsi="Verdana" w:cs="Arial"/>
          <w:b/>
          <w:bCs/>
          <w:sz w:val="22"/>
          <w:szCs w:val="22"/>
        </w:rPr>
        <w:t>più</w:t>
      </w:r>
      <w:r w:rsidR="00AB52DE" w:rsidRPr="00BF12FC">
        <w:rPr>
          <w:rFonts w:ascii="Verdana" w:hAnsi="Verdana" w:cs="Arial"/>
          <w:b/>
          <w:bCs/>
          <w:sz w:val="22"/>
          <w:szCs w:val="22"/>
        </w:rPr>
        <w:t xml:space="preserve"> basso</w:t>
      </w:r>
      <w:r w:rsidR="0033674D" w:rsidRPr="00BF12FC">
        <w:rPr>
          <w:rFonts w:ascii="Verdana" w:hAnsi="Verdana" w:cs="Arial"/>
          <w:sz w:val="22"/>
          <w:szCs w:val="22"/>
        </w:rPr>
        <w:t xml:space="preserve"> (</w:t>
      </w:r>
      <w:r w:rsidR="00B34B94" w:rsidRPr="00BF12FC">
        <w:rPr>
          <w:rFonts w:ascii="Verdana" w:hAnsi="Verdana" w:cs="Arial"/>
          <w:sz w:val="22"/>
          <w:szCs w:val="22"/>
        </w:rPr>
        <w:t>28,4%)</w:t>
      </w:r>
      <w:r w:rsidR="0033674D" w:rsidRPr="00BF12FC">
        <w:rPr>
          <w:rFonts w:ascii="Verdana" w:hAnsi="Verdana" w:cs="Arial"/>
          <w:sz w:val="22"/>
          <w:szCs w:val="22"/>
        </w:rPr>
        <w:t>.</w:t>
      </w:r>
    </w:p>
    <w:p w14:paraId="60A8CA5F" w14:textId="77777777" w:rsidR="00546508" w:rsidRPr="00BF12FC" w:rsidRDefault="00546508" w:rsidP="00204991">
      <w:pPr>
        <w:spacing w:line="280" w:lineRule="exact"/>
        <w:jc w:val="both"/>
        <w:outlineLvl w:val="2"/>
        <w:rPr>
          <w:rFonts w:ascii="Verdana" w:hAnsi="Verdana" w:cs="Arial"/>
          <w:b/>
          <w:bCs/>
          <w:sz w:val="22"/>
          <w:szCs w:val="22"/>
        </w:rPr>
      </w:pPr>
    </w:p>
    <w:p w14:paraId="35AA469A" w14:textId="30C069D4" w:rsidR="00FE071E" w:rsidRPr="00BF12FC" w:rsidRDefault="00AB52DE" w:rsidP="00204991">
      <w:pPr>
        <w:spacing w:line="280" w:lineRule="exact"/>
        <w:jc w:val="both"/>
        <w:outlineLvl w:val="2"/>
        <w:rPr>
          <w:rFonts w:ascii="Verdana" w:hAnsi="Verdana" w:cs="Arial"/>
          <w:sz w:val="22"/>
          <w:szCs w:val="22"/>
        </w:rPr>
      </w:pPr>
      <w:r w:rsidRPr="00BF12FC">
        <w:rPr>
          <w:rFonts w:ascii="Verdana" w:hAnsi="Verdana" w:cs="Arial"/>
          <w:sz w:val="22"/>
          <w:szCs w:val="22"/>
        </w:rPr>
        <w:t xml:space="preserve">Se </w:t>
      </w:r>
      <w:r w:rsidR="00546508" w:rsidRPr="00BF12FC">
        <w:rPr>
          <w:rFonts w:ascii="Verdana" w:hAnsi="Verdana" w:cs="Arial"/>
          <w:sz w:val="22"/>
          <w:szCs w:val="22"/>
        </w:rPr>
        <w:t>guardiamo</w:t>
      </w:r>
      <w:r w:rsidRPr="00BF12FC">
        <w:rPr>
          <w:rFonts w:ascii="Verdana" w:hAnsi="Verdana" w:cs="Arial"/>
          <w:sz w:val="22"/>
          <w:szCs w:val="22"/>
        </w:rPr>
        <w:t xml:space="preserve"> al numero di </w:t>
      </w:r>
      <w:r w:rsidR="00B34B94" w:rsidRPr="00BF12FC">
        <w:rPr>
          <w:rFonts w:ascii="Verdana" w:hAnsi="Verdana" w:cs="Arial"/>
          <w:sz w:val="22"/>
          <w:szCs w:val="22"/>
        </w:rPr>
        <w:t>Denunce in base a sesso</w:t>
      </w:r>
      <w:r w:rsidR="00FE071E" w:rsidRPr="00BF12FC">
        <w:rPr>
          <w:rFonts w:ascii="Verdana" w:hAnsi="Verdana" w:cs="Arial"/>
          <w:sz w:val="22"/>
          <w:szCs w:val="22"/>
        </w:rPr>
        <w:t>,</w:t>
      </w:r>
      <w:r w:rsidR="00B34B94" w:rsidRPr="00BF12FC">
        <w:rPr>
          <w:rFonts w:ascii="Verdana" w:hAnsi="Verdana" w:cs="Arial"/>
          <w:sz w:val="22"/>
          <w:szCs w:val="22"/>
        </w:rPr>
        <w:t xml:space="preserve"> anzianità</w:t>
      </w:r>
      <w:r w:rsidRPr="00BF12FC">
        <w:rPr>
          <w:rFonts w:ascii="Verdana" w:hAnsi="Verdana" w:cs="Arial"/>
          <w:sz w:val="22"/>
          <w:szCs w:val="22"/>
        </w:rPr>
        <w:t xml:space="preserve"> di servizio </w:t>
      </w:r>
      <w:r w:rsidR="00FE071E" w:rsidRPr="00BF12FC">
        <w:rPr>
          <w:rFonts w:ascii="Verdana" w:hAnsi="Verdana" w:cs="Arial"/>
          <w:sz w:val="22"/>
          <w:szCs w:val="22"/>
        </w:rPr>
        <w:t xml:space="preserve">e area professionale la situazione è la seguente: </w:t>
      </w:r>
    </w:p>
    <w:p w14:paraId="3C798E80" w14:textId="0911FC13" w:rsidR="00B34B94" w:rsidRPr="00BF12FC" w:rsidRDefault="00B34B94" w:rsidP="0033674D">
      <w:pPr>
        <w:pStyle w:val="Paragrafoelenco"/>
        <w:numPr>
          <w:ilvl w:val="0"/>
          <w:numId w:val="7"/>
        </w:numPr>
        <w:spacing w:line="280" w:lineRule="exact"/>
        <w:jc w:val="both"/>
        <w:outlineLvl w:val="2"/>
        <w:rPr>
          <w:rFonts w:ascii="Verdana" w:hAnsi="Verdana" w:cs="Arial"/>
          <w:sz w:val="22"/>
          <w:szCs w:val="22"/>
        </w:rPr>
      </w:pPr>
      <w:r w:rsidRPr="00BF12FC">
        <w:rPr>
          <w:rFonts w:ascii="Verdana" w:hAnsi="Verdana" w:cs="Arial"/>
          <w:b/>
          <w:bCs/>
          <w:sz w:val="22"/>
          <w:szCs w:val="22"/>
        </w:rPr>
        <w:t>Donne in area chirurgica con &gt; 20 anni di anzianità</w:t>
      </w:r>
      <w:r w:rsidRPr="00BF12FC">
        <w:rPr>
          <w:rFonts w:ascii="Verdana" w:hAnsi="Verdana" w:cs="Arial"/>
          <w:sz w:val="22"/>
          <w:szCs w:val="22"/>
        </w:rPr>
        <w:t>: 71,1%</w:t>
      </w:r>
    </w:p>
    <w:p w14:paraId="1E5C998C" w14:textId="120023C5" w:rsidR="00B34B94" w:rsidRPr="00BF12FC" w:rsidRDefault="00B34B94" w:rsidP="0033674D">
      <w:pPr>
        <w:pStyle w:val="Paragrafoelenco"/>
        <w:numPr>
          <w:ilvl w:val="0"/>
          <w:numId w:val="7"/>
        </w:numPr>
        <w:spacing w:line="280" w:lineRule="exact"/>
        <w:jc w:val="both"/>
        <w:rPr>
          <w:rFonts w:ascii="Verdana" w:hAnsi="Verdana" w:cs="Arial"/>
          <w:sz w:val="22"/>
          <w:szCs w:val="22"/>
        </w:rPr>
      </w:pPr>
      <w:r w:rsidRPr="00BF12FC">
        <w:rPr>
          <w:rFonts w:ascii="Verdana" w:hAnsi="Verdana" w:cs="Arial"/>
          <w:b/>
          <w:bCs/>
          <w:sz w:val="22"/>
          <w:szCs w:val="22"/>
        </w:rPr>
        <w:t>Uomini in area chirurgica con &gt; 20 anni di anzianità</w:t>
      </w:r>
      <w:r w:rsidRPr="00BF12FC">
        <w:rPr>
          <w:rFonts w:ascii="Verdana" w:hAnsi="Verdana" w:cs="Arial"/>
          <w:sz w:val="22"/>
          <w:szCs w:val="22"/>
        </w:rPr>
        <w:t>: 86,2%</w:t>
      </w:r>
    </w:p>
    <w:p w14:paraId="617B498D" w14:textId="2A68FF41" w:rsidR="00B34B94" w:rsidRPr="00BF12FC" w:rsidRDefault="00B34B94" w:rsidP="0033674D">
      <w:pPr>
        <w:pStyle w:val="Paragrafoelenco"/>
        <w:numPr>
          <w:ilvl w:val="0"/>
          <w:numId w:val="7"/>
        </w:numPr>
        <w:spacing w:line="280" w:lineRule="exact"/>
        <w:jc w:val="both"/>
        <w:rPr>
          <w:rFonts w:ascii="Verdana" w:hAnsi="Verdana" w:cs="Arial"/>
          <w:sz w:val="22"/>
          <w:szCs w:val="22"/>
        </w:rPr>
      </w:pPr>
      <w:r w:rsidRPr="00BF12FC">
        <w:rPr>
          <w:rFonts w:ascii="Verdana" w:hAnsi="Verdana" w:cs="Arial"/>
          <w:b/>
          <w:bCs/>
          <w:sz w:val="22"/>
          <w:szCs w:val="22"/>
        </w:rPr>
        <w:t>Totale (M+F) area chirurgica &gt; 20 anni di anzianità</w:t>
      </w:r>
      <w:r w:rsidRPr="00BF12FC">
        <w:rPr>
          <w:rFonts w:ascii="Verdana" w:hAnsi="Verdana" w:cs="Arial"/>
          <w:sz w:val="22"/>
          <w:szCs w:val="22"/>
        </w:rPr>
        <w:t>: 82,3%</w:t>
      </w:r>
    </w:p>
    <w:p w14:paraId="28976E02" w14:textId="77777777" w:rsidR="007317A1" w:rsidRPr="00BF12FC" w:rsidRDefault="007317A1" w:rsidP="00204991">
      <w:pPr>
        <w:spacing w:line="280" w:lineRule="exact"/>
        <w:rPr>
          <w:rFonts w:ascii="Verdana" w:hAnsi="Verdana" w:cs="Arial"/>
          <w:sz w:val="22"/>
          <w:szCs w:val="22"/>
        </w:rPr>
      </w:pPr>
    </w:p>
    <w:p w14:paraId="42FAC877" w14:textId="77777777" w:rsidR="00B34B94" w:rsidRPr="00BF12FC" w:rsidRDefault="00B34B94" w:rsidP="00204991">
      <w:pPr>
        <w:pStyle w:val="Titolo3"/>
        <w:spacing w:before="0" w:beforeAutospacing="0" w:after="0" w:afterAutospacing="0" w:line="280" w:lineRule="exact"/>
        <w:jc w:val="both"/>
        <w:rPr>
          <w:rFonts w:ascii="Verdana" w:hAnsi="Verdana" w:cs="Arial"/>
          <w:sz w:val="22"/>
          <w:szCs w:val="22"/>
        </w:rPr>
      </w:pPr>
      <w:r w:rsidRPr="00BF12FC">
        <w:rPr>
          <w:rStyle w:val="Enfasigrassetto"/>
          <w:rFonts w:ascii="Verdana" w:hAnsi="Verdana" w:cs="Arial"/>
          <w:b/>
          <w:bCs/>
          <w:sz w:val="22"/>
          <w:szCs w:val="22"/>
        </w:rPr>
        <w:t>La chirurgia: un’area ad alto rischio giudiziario</w:t>
      </w:r>
    </w:p>
    <w:p w14:paraId="29E94E14" w14:textId="77777777" w:rsidR="00B34B94" w:rsidRPr="00BF12FC" w:rsidRDefault="00B34B94" w:rsidP="00204991">
      <w:pPr>
        <w:pStyle w:val="NormaleWeb"/>
        <w:spacing w:before="0" w:beforeAutospacing="0" w:after="0" w:afterAutospacing="0" w:line="280" w:lineRule="exact"/>
        <w:jc w:val="both"/>
        <w:rPr>
          <w:rFonts w:ascii="Verdana" w:hAnsi="Verdana" w:cs="Arial"/>
          <w:sz w:val="22"/>
          <w:szCs w:val="22"/>
        </w:rPr>
      </w:pPr>
      <w:r w:rsidRPr="00BF12FC">
        <w:rPr>
          <w:rFonts w:ascii="Verdana" w:hAnsi="Verdana" w:cs="Arial"/>
          <w:sz w:val="22"/>
          <w:szCs w:val="22"/>
        </w:rPr>
        <w:t xml:space="preserve">È nell’ambito chirurgico che si registra il tasso più elevato di denunce. In alcune specialità come ginecologia, ortopedia e chirurgia generale, la probabilità di essere denunciati supera il 65%, raggiungendo in ginecologia e cardiochirurgia addirittura il 70%. In altre parole, </w:t>
      </w:r>
      <w:r w:rsidRPr="00BF12FC">
        <w:rPr>
          <w:rStyle w:val="Enfasigrassetto"/>
          <w:rFonts w:ascii="Verdana" w:hAnsi="Verdana" w:cs="Arial"/>
          <w:b w:val="0"/>
          <w:bCs w:val="0"/>
          <w:sz w:val="22"/>
          <w:szCs w:val="22"/>
        </w:rPr>
        <w:t>7 professionisti su 10</w:t>
      </w:r>
      <w:r w:rsidRPr="00BF12FC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BF12FC">
        <w:rPr>
          <w:rFonts w:ascii="Verdana" w:hAnsi="Verdana" w:cs="Arial"/>
          <w:sz w:val="22"/>
          <w:szCs w:val="22"/>
        </w:rPr>
        <w:t>che operano in queste discipline hanno avuto almeno una volta a che fare con un procedimento legale. Un dato che evidenzia quanto la chirurgia, per la sua natura invasiva e ad alta complessità, sia particolarmente esposta al contenzioso.</w:t>
      </w:r>
    </w:p>
    <w:p w14:paraId="76652EBA" w14:textId="77777777" w:rsidR="00B34B94" w:rsidRPr="00BF12FC" w:rsidRDefault="00B34B94" w:rsidP="00204991">
      <w:pPr>
        <w:pStyle w:val="NormaleWeb"/>
        <w:spacing w:before="0" w:beforeAutospacing="0" w:after="0" w:afterAutospacing="0" w:line="280" w:lineRule="exact"/>
        <w:jc w:val="both"/>
        <w:rPr>
          <w:rFonts w:ascii="Verdana" w:hAnsi="Verdana" w:cs="Arial"/>
          <w:sz w:val="22"/>
          <w:szCs w:val="22"/>
        </w:rPr>
      </w:pPr>
    </w:p>
    <w:p w14:paraId="22BE9121" w14:textId="77777777" w:rsidR="00B34B94" w:rsidRPr="00BF12FC" w:rsidRDefault="00B34B94" w:rsidP="00204991">
      <w:pPr>
        <w:pStyle w:val="Titolo3"/>
        <w:spacing w:before="0" w:beforeAutospacing="0" w:after="0" w:afterAutospacing="0" w:line="280" w:lineRule="exact"/>
        <w:jc w:val="both"/>
        <w:rPr>
          <w:rFonts w:ascii="Verdana" w:hAnsi="Verdana" w:cs="Arial"/>
          <w:sz w:val="22"/>
          <w:szCs w:val="22"/>
        </w:rPr>
      </w:pPr>
      <w:r w:rsidRPr="00BF12FC">
        <w:rPr>
          <w:rStyle w:val="Enfasigrassetto"/>
          <w:rFonts w:ascii="Verdana" w:hAnsi="Verdana" w:cs="Arial"/>
          <w:b/>
          <w:bCs/>
          <w:sz w:val="22"/>
          <w:szCs w:val="22"/>
        </w:rPr>
        <w:t>Le differenze tra aree disciplinari e geografiche</w:t>
      </w:r>
    </w:p>
    <w:p w14:paraId="03D266B3" w14:textId="53913498" w:rsidR="00B34B94" w:rsidRPr="00BF12FC" w:rsidRDefault="00B34B94" w:rsidP="00204991">
      <w:pPr>
        <w:pStyle w:val="NormaleWeb"/>
        <w:spacing w:before="0" w:beforeAutospacing="0" w:after="0" w:afterAutospacing="0" w:line="280" w:lineRule="exact"/>
        <w:jc w:val="both"/>
        <w:rPr>
          <w:rFonts w:ascii="Verdana" w:hAnsi="Verdana" w:cs="Arial"/>
          <w:sz w:val="22"/>
          <w:szCs w:val="22"/>
        </w:rPr>
      </w:pPr>
      <w:r w:rsidRPr="00BF12FC">
        <w:rPr>
          <w:rFonts w:ascii="Verdana" w:hAnsi="Verdana" w:cs="Arial"/>
          <w:sz w:val="22"/>
          <w:szCs w:val="22"/>
        </w:rPr>
        <w:t xml:space="preserve">Anche considerando le grandi aree di specializzazione, la chirurgia si conferma la più colpita, con un tasso di denuncia doppio rispetto alla </w:t>
      </w:r>
      <w:r w:rsidR="00197265" w:rsidRPr="00BF12FC">
        <w:rPr>
          <w:rFonts w:ascii="Verdana" w:hAnsi="Verdana" w:cs="Arial"/>
          <w:sz w:val="22"/>
          <w:szCs w:val="22"/>
        </w:rPr>
        <w:t xml:space="preserve">area </w:t>
      </w:r>
      <w:r w:rsidR="00546508" w:rsidRPr="00BF12FC">
        <w:rPr>
          <w:rFonts w:ascii="Verdana" w:hAnsi="Verdana" w:cs="Arial"/>
          <w:sz w:val="22"/>
          <w:szCs w:val="22"/>
        </w:rPr>
        <w:t>internistica (</w:t>
      </w:r>
      <w:r w:rsidRPr="00BF12FC">
        <w:rPr>
          <w:rFonts w:ascii="Verdana" w:hAnsi="Verdana" w:cs="Arial"/>
          <w:sz w:val="22"/>
          <w:szCs w:val="22"/>
        </w:rPr>
        <w:t>60,8% vs 31,9%). I servizi (radiologia, anestesia, psichiatria, ecc.) si mantengono invece su valori decisamente più contenuti (15,2%).</w:t>
      </w:r>
    </w:p>
    <w:p w14:paraId="39BA8DFC" w14:textId="77777777" w:rsidR="00B34B94" w:rsidRPr="00BF12FC" w:rsidRDefault="00B34B94" w:rsidP="00204991">
      <w:pPr>
        <w:pStyle w:val="NormaleWeb"/>
        <w:spacing w:before="0" w:beforeAutospacing="0" w:after="0" w:afterAutospacing="0" w:line="280" w:lineRule="exact"/>
        <w:jc w:val="both"/>
        <w:rPr>
          <w:rFonts w:ascii="Verdana" w:hAnsi="Verdana" w:cs="Arial"/>
          <w:sz w:val="22"/>
          <w:szCs w:val="22"/>
        </w:rPr>
      </w:pPr>
      <w:r w:rsidRPr="00BF12FC">
        <w:rPr>
          <w:rFonts w:ascii="Verdana" w:hAnsi="Verdana" w:cs="Arial"/>
          <w:sz w:val="22"/>
          <w:szCs w:val="22"/>
        </w:rPr>
        <w:t>Dal punto di vista geografico, emerge un gradiente crescente da nord a sud: si passa dal 27,2% del nord al 39,8% del sud e isole, con un picco del 65,9% nella sola area chirurgica meridionale. È difficile non interrogarsi sulle cause di questa disparità: carenze strutturali, sovraccarico dei servizi, contesto socio-economico e fiducia nei confronti del sistema sanitario potrebbero tutti giocare un ruolo.</w:t>
      </w:r>
    </w:p>
    <w:p w14:paraId="44E5D5C9" w14:textId="77777777" w:rsidR="00B34B94" w:rsidRPr="00BF12FC" w:rsidRDefault="00B34B94" w:rsidP="00204991">
      <w:pPr>
        <w:pStyle w:val="NormaleWeb"/>
        <w:spacing w:before="0" w:beforeAutospacing="0" w:after="0" w:afterAutospacing="0" w:line="280" w:lineRule="exact"/>
        <w:jc w:val="both"/>
        <w:rPr>
          <w:rFonts w:ascii="Verdana" w:hAnsi="Verdana" w:cs="Arial"/>
          <w:sz w:val="22"/>
          <w:szCs w:val="22"/>
        </w:rPr>
      </w:pPr>
    </w:p>
    <w:p w14:paraId="404766AC" w14:textId="19B76A80" w:rsidR="00B34B94" w:rsidRPr="00BF12FC" w:rsidRDefault="00902488" w:rsidP="00204991">
      <w:pPr>
        <w:pStyle w:val="Titolo3"/>
        <w:spacing w:before="0" w:beforeAutospacing="0" w:after="0" w:afterAutospacing="0" w:line="280" w:lineRule="exact"/>
        <w:jc w:val="both"/>
        <w:rPr>
          <w:rFonts w:ascii="Verdana" w:hAnsi="Verdana" w:cs="Arial"/>
          <w:sz w:val="22"/>
          <w:szCs w:val="22"/>
        </w:rPr>
      </w:pPr>
      <w:r w:rsidRPr="00BF12FC">
        <w:rPr>
          <w:rStyle w:val="Enfasigrassetto"/>
          <w:rFonts w:ascii="Verdana" w:hAnsi="Verdana" w:cs="Arial"/>
          <w:b/>
          <w:bCs/>
          <w:sz w:val="22"/>
          <w:szCs w:val="22"/>
        </w:rPr>
        <w:t>A</w:t>
      </w:r>
      <w:r w:rsidR="00B34B94" w:rsidRPr="00BF12FC">
        <w:rPr>
          <w:rStyle w:val="Enfasigrassetto"/>
          <w:rFonts w:ascii="Verdana" w:hAnsi="Verdana" w:cs="Arial"/>
          <w:b/>
          <w:bCs/>
          <w:sz w:val="22"/>
          <w:szCs w:val="22"/>
        </w:rPr>
        <w:t xml:space="preserve">nzianità </w:t>
      </w:r>
      <w:r w:rsidRPr="00BF12FC">
        <w:rPr>
          <w:rStyle w:val="Enfasigrassetto"/>
          <w:rFonts w:ascii="Verdana" w:hAnsi="Verdana" w:cs="Arial"/>
          <w:b/>
          <w:bCs/>
          <w:sz w:val="22"/>
          <w:szCs w:val="22"/>
        </w:rPr>
        <w:t xml:space="preserve">di servizio </w:t>
      </w:r>
      <w:r w:rsidR="00B34B94" w:rsidRPr="00BF12FC">
        <w:rPr>
          <w:rStyle w:val="Enfasigrassetto"/>
          <w:rFonts w:ascii="Verdana" w:hAnsi="Verdana" w:cs="Arial"/>
          <w:b/>
          <w:bCs/>
          <w:sz w:val="22"/>
          <w:szCs w:val="22"/>
        </w:rPr>
        <w:t>e genere</w:t>
      </w:r>
    </w:p>
    <w:p w14:paraId="0E3AA87B" w14:textId="77777777" w:rsidR="00B34B94" w:rsidRPr="00BF12FC" w:rsidRDefault="00B34B94" w:rsidP="00204991">
      <w:pPr>
        <w:pStyle w:val="NormaleWeb"/>
        <w:spacing w:before="0" w:beforeAutospacing="0" w:after="0" w:afterAutospacing="0" w:line="280" w:lineRule="exact"/>
        <w:jc w:val="both"/>
        <w:rPr>
          <w:rFonts w:ascii="Verdana" w:hAnsi="Verdana" w:cs="Arial"/>
          <w:sz w:val="22"/>
          <w:szCs w:val="22"/>
        </w:rPr>
      </w:pPr>
      <w:r w:rsidRPr="00BF12FC">
        <w:rPr>
          <w:rFonts w:ascii="Verdana" w:hAnsi="Verdana" w:cs="Arial"/>
          <w:sz w:val="22"/>
          <w:szCs w:val="22"/>
        </w:rPr>
        <w:t xml:space="preserve">L’esperienza non protegge. Anzi, tra i professionisti con oltre 20 anni di carriera, i tassi di denuncia crescono sensibilmente, soprattutto in ambito chirurgico. Il dato più impressionante riguarda i chirurghi uomini con lunga anzianità: </w:t>
      </w:r>
      <w:r w:rsidRPr="00BF12FC">
        <w:rPr>
          <w:rStyle w:val="Enfasigrassetto"/>
          <w:rFonts w:ascii="Verdana" w:hAnsi="Verdana" w:cs="Arial"/>
          <w:b w:val="0"/>
          <w:bCs w:val="0"/>
          <w:sz w:val="22"/>
          <w:szCs w:val="22"/>
        </w:rPr>
        <w:t>l’86,2%</w:t>
      </w:r>
      <w:r w:rsidRPr="00BF12FC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BF12FC">
        <w:rPr>
          <w:rFonts w:ascii="Verdana" w:hAnsi="Verdana" w:cs="Arial"/>
          <w:sz w:val="22"/>
          <w:szCs w:val="22"/>
        </w:rPr>
        <w:t xml:space="preserve">ha subito almeno una denuncia. Se si considerano uomini e donne insieme, la percentuale scende poco: </w:t>
      </w:r>
      <w:r w:rsidRPr="00BF12FC">
        <w:rPr>
          <w:rStyle w:val="Enfasigrassetto"/>
          <w:rFonts w:ascii="Verdana" w:hAnsi="Verdana" w:cs="Arial"/>
          <w:b w:val="0"/>
          <w:bCs w:val="0"/>
          <w:sz w:val="22"/>
          <w:szCs w:val="22"/>
        </w:rPr>
        <w:t>oltre 8 su 10</w:t>
      </w:r>
      <w:r w:rsidRPr="00BF12FC">
        <w:rPr>
          <w:rFonts w:ascii="Verdana" w:hAnsi="Verdana" w:cs="Arial"/>
          <w:sz w:val="22"/>
          <w:szCs w:val="22"/>
        </w:rPr>
        <w:t xml:space="preserve"> (82,3%).</w:t>
      </w:r>
    </w:p>
    <w:p w14:paraId="7B5E41E9" w14:textId="77777777" w:rsidR="00B34B94" w:rsidRPr="00BF12FC" w:rsidRDefault="00B34B94" w:rsidP="00204991">
      <w:pPr>
        <w:pStyle w:val="NormaleWeb"/>
        <w:spacing w:before="0" w:beforeAutospacing="0" w:after="0" w:afterAutospacing="0" w:line="280" w:lineRule="exact"/>
        <w:jc w:val="both"/>
        <w:rPr>
          <w:rFonts w:ascii="Verdana" w:hAnsi="Verdana" w:cs="Arial"/>
          <w:sz w:val="22"/>
          <w:szCs w:val="22"/>
        </w:rPr>
      </w:pPr>
      <w:r w:rsidRPr="00BF12FC">
        <w:rPr>
          <w:rFonts w:ascii="Verdana" w:hAnsi="Verdana" w:cs="Arial"/>
          <w:sz w:val="22"/>
          <w:szCs w:val="22"/>
        </w:rPr>
        <w:t xml:space="preserve">Questo significa che </w:t>
      </w:r>
      <w:r w:rsidRPr="00BF12FC">
        <w:rPr>
          <w:rStyle w:val="Enfasigrassetto"/>
          <w:rFonts w:ascii="Verdana" w:hAnsi="Verdana" w:cs="Arial"/>
          <w:b w:val="0"/>
          <w:bCs w:val="0"/>
          <w:sz w:val="22"/>
          <w:szCs w:val="22"/>
        </w:rPr>
        <w:t>più di 6 chirurghi uomini su 7</w:t>
      </w:r>
      <w:r w:rsidRPr="00BF12FC">
        <w:rPr>
          <w:rFonts w:ascii="Verdana" w:hAnsi="Verdana" w:cs="Arial"/>
          <w:sz w:val="22"/>
          <w:szCs w:val="22"/>
        </w:rPr>
        <w:t xml:space="preserve">, e </w:t>
      </w:r>
      <w:r w:rsidRPr="00BF12FC">
        <w:rPr>
          <w:rStyle w:val="Enfasigrassetto"/>
          <w:rFonts w:ascii="Verdana" w:hAnsi="Verdana" w:cs="Arial"/>
          <w:b w:val="0"/>
          <w:bCs w:val="0"/>
          <w:sz w:val="22"/>
          <w:szCs w:val="22"/>
        </w:rPr>
        <w:t>5 chirurghi di qualunque genere su 6</w:t>
      </w:r>
      <w:r w:rsidRPr="00BF12FC">
        <w:rPr>
          <w:rFonts w:ascii="Verdana" w:hAnsi="Verdana" w:cs="Arial"/>
          <w:sz w:val="22"/>
          <w:szCs w:val="22"/>
        </w:rPr>
        <w:t>, con almeno vent’anni di attività, sono stati oggetto di un procedimento giudiziario. Si tratta di numeri che non possono essere considerati fisiologici, ma che segnalano una situazione strutturalmente critica.</w:t>
      </w:r>
    </w:p>
    <w:p w14:paraId="308279A7" w14:textId="77777777" w:rsidR="00902488" w:rsidRPr="00BF12FC" w:rsidRDefault="00902488" w:rsidP="00204991">
      <w:pPr>
        <w:pStyle w:val="NormaleWeb"/>
        <w:spacing w:before="0" w:beforeAutospacing="0" w:after="0" w:afterAutospacing="0" w:line="280" w:lineRule="exact"/>
        <w:jc w:val="both"/>
        <w:rPr>
          <w:rFonts w:ascii="Verdana" w:hAnsi="Verdana" w:cs="Arial"/>
          <w:sz w:val="22"/>
          <w:szCs w:val="22"/>
        </w:rPr>
      </w:pPr>
    </w:p>
    <w:p w14:paraId="3CE63E95" w14:textId="77777777" w:rsidR="00B34B94" w:rsidRPr="00BF12FC" w:rsidRDefault="00B34B94" w:rsidP="00204991">
      <w:pPr>
        <w:pStyle w:val="Titolo3"/>
        <w:spacing w:before="0" w:beforeAutospacing="0" w:after="0" w:afterAutospacing="0" w:line="280" w:lineRule="exact"/>
        <w:jc w:val="both"/>
        <w:rPr>
          <w:rFonts w:ascii="Verdana" w:hAnsi="Verdana" w:cs="Arial"/>
          <w:sz w:val="22"/>
          <w:szCs w:val="22"/>
        </w:rPr>
      </w:pPr>
      <w:r w:rsidRPr="00BF12FC">
        <w:rPr>
          <w:rStyle w:val="Enfasigrassetto"/>
          <w:rFonts w:ascii="Verdana" w:hAnsi="Verdana" w:cs="Arial"/>
          <w:b/>
          <w:bCs/>
          <w:sz w:val="22"/>
          <w:szCs w:val="22"/>
        </w:rPr>
        <w:t>Strutture piccole, rischio maggiore</w:t>
      </w:r>
    </w:p>
    <w:p w14:paraId="6B572941" w14:textId="38B02142" w:rsidR="00B03F97" w:rsidRPr="00BF12FC" w:rsidRDefault="006F3C12" w:rsidP="00425372">
      <w:pPr>
        <w:pStyle w:val="NormaleWeb"/>
        <w:spacing w:before="0" w:beforeAutospacing="0" w:after="0" w:afterAutospacing="0" w:line="280" w:lineRule="exact"/>
        <w:jc w:val="both"/>
        <w:rPr>
          <w:rFonts w:ascii="Verdana" w:hAnsi="Verdana"/>
          <w:sz w:val="22"/>
          <w:szCs w:val="22"/>
        </w:rPr>
      </w:pPr>
      <w:r w:rsidRPr="00BF12FC">
        <w:rPr>
          <w:rFonts w:ascii="Verdana" w:hAnsi="Verdana" w:cs="Arial"/>
          <w:sz w:val="22"/>
          <w:szCs w:val="22"/>
        </w:rPr>
        <w:t>A</w:t>
      </w:r>
      <w:r w:rsidR="00B34B94" w:rsidRPr="00BF12FC">
        <w:rPr>
          <w:rFonts w:ascii="Verdana" w:hAnsi="Verdana" w:cs="Arial"/>
          <w:sz w:val="22"/>
          <w:szCs w:val="22"/>
        </w:rPr>
        <w:t>nche la dimensione dell’ospedale sembra influire sul rischio di denuncia: i professionisti che lavorano in strutture con meno di 500 posti letto riportano una frequenza di denunce significativamente più alta (37,6%) rispetto a chi opera in ospedali più grandi (28,4% oltre i 1000 posti letto). Probabilmente, nei contesti più piccoli, la minore disponibilità di risorse, la carenza di personale e l’assenza di équipe strutturate aumentano il rischio di errore e la vulnerabilità legale.</w:t>
      </w:r>
      <w:r w:rsidR="00B03F97" w:rsidRPr="00BF12FC">
        <w:rPr>
          <w:rFonts w:ascii="Verdana" w:hAnsi="Verdana"/>
          <w:sz w:val="22"/>
          <w:szCs w:val="22"/>
        </w:rPr>
        <w:br w:type="page"/>
      </w:r>
    </w:p>
    <w:p w14:paraId="55DDED99" w14:textId="4B762EDD" w:rsidR="00B34B94" w:rsidRPr="00BF12FC" w:rsidRDefault="00204991" w:rsidP="00204991">
      <w:pPr>
        <w:spacing w:line="280" w:lineRule="exact"/>
        <w:jc w:val="both"/>
        <w:rPr>
          <w:rFonts w:ascii="Verdana" w:hAnsi="Verdana"/>
          <w:sz w:val="22"/>
          <w:szCs w:val="22"/>
        </w:rPr>
      </w:pPr>
      <w:r w:rsidRPr="00BF12FC">
        <w:rPr>
          <w:rFonts w:ascii="Verdana" w:hAnsi="Verdana"/>
          <w:sz w:val="22"/>
          <w:szCs w:val="22"/>
        </w:rPr>
        <w:lastRenderedPageBreak/>
        <w:t>“</w:t>
      </w:r>
      <w:r w:rsidR="00B34B94" w:rsidRPr="00BF12FC">
        <w:rPr>
          <w:rFonts w:ascii="Verdana" w:hAnsi="Verdana" w:cs="Arial"/>
          <w:sz w:val="22"/>
          <w:szCs w:val="22"/>
        </w:rPr>
        <w:t xml:space="preserve">I risultati della survey </w:t>
      </w:r>
      <w:r w:rsidRPr="00BF12FC">
        <w:rPr>
          <w:rFonts w:ascii="Verdana" w:hAnsi="Verdana" w:cs="Arial"/>
          <w:sz w:val="22"/>
          <w:szCs w:val="22"/>
        </w:rPr>
        <w:t xml:space="preserve">– commenta Pierino Di Silverio Segretario Nazionale Anaao Assomed - </w:t>
      </w:r>
      <w:r w:rsidR="00B34B94" w:rsidRPr="00BF12FC">
        <w:rPr>
          <w:rFonts w:ascii="Verdana" w:hAnsi="Verdana" w:cs="Arial"/>
          <w:sz w:val="22"/>
          <w:szCs w:val="22"/>
        </w:rPr>
        <w:t>delineano un quadro di grande tensione per chi lavora nella sanità pubblica italiana, soprattutto per i medici che operano in ambiti ad alta intensità tecnica e decisionale. L’alto numero di denunce – anche penali – suggerisce non solo un aumento del contenzioso, ma anche un clima di sfiducia e di conflittualità tra cittadini e sistema sanitario.</w:t>
      </w:r>
      <w:r w:rsidR="006959D1" w:rsidRPr="00BF12FC">
        <w:rPr>
          <w:rFonts w:ascii="Verdana" w:hAnsi="Verdana"/>
          <w:sz w:val="22"/>
          <w:szCs w:val="22"/>
        </w:rPr>
        <w:t xml:space="preserve"> Nessuna meraviglia se l’85% di chi ha partecipato alla </w:t>
      </w:r>
      <w:r w:rsidRPr="00BF12FC">
        <w:rPr>
          <w:rFonts w:ascii="Verdana" w:hAnsi="Verdana"/>
          <w:sz w:val="22"/>
          <w:szCs w:val="22"/>
        </w:rPr>
        <w:t>survey si</w:t>
      </w:r>
      <w:r w:rsidR="006959D1" w:rsidRPr="00BF12FC">
        <w:rPr>
          <w:rFonts w:ascii="Verdana" w:hAnsi="Verdana"/>
          <w:sz w:val="22"/>
          <w:szCs w:val="22"/>
        </w:rPr>
        <w:t xml:space="preserve"> sente a maggior rischio nella attività lavorativa e il 90% confessi di avvertire una pressione maggiore. Al punto da avere pensato a licenziarsi </w:t>
      </w:r>
      <w:r w:rsidR="00F519DB" w:rsidRPr="00BF12FC">
        <w:rPr>
          <w:rFonts w:ascii="Verdana" w:hAnsi="Verdana"/>
          <w:sz w:val="22"/>
          <w:szCs w:val="22"/>
        </w:rPr>
        <w:t>1 collega su 3</w:t>
      </w:r>
      <w:r w:rsidR="006959D1" w:rsidRPr="00BF12FC">
        <w:rPr>
          <w:rFonts w:ascii="Verdana" w:hAnsi="Verdana"/>
          <w:sz w:val="22"/>
          <w:szCs w:val="22"/>
        </w:rPr>
        <w:t xml:space="preserve"> </w:t>
      </w:r>
      <w:r w:rsidR="00F25A02" w:rsidRPr="00BF12FC">
        <w:rPr>
          <w:rFonts w:ascii="Verdana" w:hAnsi="Verdana"/>
          <w:sz w:val="22"/>
          <w:szCs w:val="22"/>
        </w:rPr>
        <w:t>e a</w:t>
      </w:r>
      <w:r w:rsidR="006959D1" w:rsidRPr="00BF12FC">
        <w:rPr>
          <w:rFonts w:ascii="Verdana" w:hAnsi="Verdana"/>
          <w:sz w:val="22"/>
          <w:szCs w:val="22"/>
        </w:rPr>
        <w:t xml:space="preserve"> rinunciare a ruoli di maggiore responsabilità, avvertiti come di maggior rischio, nel 47% dei casi</w:t>
      </w:r>
      <w:r w:rsidRPr="00BF12FC">
        <w:rPr>
          <w:rFonts w:ascii="Verdana" w:hAnsi="Verdana"/>
          <w:sz w:val="22"/>
          <w:szCs w:val="22"/>
        </w:rPr>
        <w:t>”.</w:t>
      </w:r>
    </w:p>
    <w:p w14:paraId="41C9A111" w14:textId="77777777" w:rsidR="00204991" w:rsidRPr="00BF12FC" w:rsidRDefault="00204991" w:rsidP="00204991">
      <w:pPr>
        <w:pStyle w:val="NormaleWeb"/>
        <w:spacing w:before="0" w:beforeAutospacing="0" w:after="0" w:afterAutospacing="0" w:line="280" w:lineRule="exact"/>
        <w:jc w:val="both"/>
        <w:rPr>
          <w:rFonts w:ascii="Verdana" w:hAnsi="Verdana" w:cs="Arial"/>
          <w:sz w:val="22"/>
          <w:szCs w:val="22"/>
        </w:rPr>
      </w:pPr>
    </w:p>
    <w:p w14:paraId="3DF0FBB2" w14:textId="5A36313E" w:rsidR="00B34B94" w:rsidRPr="00BF12FC" w:rsidRDefault="00204991" w:rsidP="00204991">
      <w:pPr>
        <w:pStyle w:val="NormaleWeb"/>
        <w:spacing w:before="0" w:beforeAutospacing="0" w:after="0" w:afterAutospacing="0" w:line="280" w:lineRule="exact"/>
        <w:jc w:val="both"/>
        <w:rPr>
          <w:rFonts w:ascii="Verdana" w:hAnsi="Verdana" w:cs="Arial"/>
          <w:sz w:val="22"/>
          <w:szCs w:val="22"/>
        </w:rPr>
      </w:pPr>
      <w:r w:rsidRPr="00BF12FC">
        <w:rPr>
          <w:rFonts w:ascii="Verdana" w:hAnsi="Verdana" w:cs="Arial"/>
          <w:sz w:val="22"/>
          <w:szCs w:val="22"/>
        </w:rPr>
        <w:t>“</w:t>
      </w:r>
      <w:r w:rsidR="00B34B94" w:rsidRPr="00BF12FC">
        <w:rPr>
          <w:rFonts w:ascii="Verdana" w:hAnsi="Verdana" w:cs="Arial"/>
          <w:sz w:val="22"/>
          <w:szCs w:val="22"/>
        </w:rPr>
        <w:t xml:space="preserve">La questione delle denunce </w:t>
      </w:r>
      <w:r w:rsidRPr="00BF12FC">
        <w:rPr>
          <w:rFonts w:ascii="Verdana" w:hAnsi="Verdana" w:cs="Arial"/>
          <w:sz w:val="22"/>
          <w:szCs w:val="22"/>
        </w:rPr>
        <w:t xml:space="preserve">– prosegue Di Silverio - </w:t>
      </w:r>
      <w:r w:rsidR="00B34B94" w:rsidRPr="00BF12FC">
        <w:rPr>
          <w:rFonts w:ascii="Verdana" w:hAnsi="Verdana" w:cs="Arial"/>
          <w:sz w:val="22"/>
          <w:szCs w:val="22"/>
        </w:rPr>
        <w:t>non è solo un problema individuale, ma sistemico. È necessario avviare una riflessione profonda sulle condizioni di lavoro dei medici, sulle politiche di tutela professionale, sulla formazione e sul dialogo con i pazienti, per prevenire il contenzioso e restituire serenità a chi ogni giorno garantisce cura e assistenza</w:t>
      </w:r>
      <w:r w:rsidRPr="00BF12FC">
        <w:rPr>
          <w:rFonts w:ascii="Verdana" w:hAnsi="Verdana" w:cs="Arial"/>
          <w:sz w:val="22"/>
          <w:szCs w:val="22"/>
        </w:rPr>
        <w:t>”</w:t>
      </w:r>
      <w:r w:rsidR="00B34B94" w:rsidRPr="00BF12FC">
        <w:rPr>
          <w:rFonts w:ascii="Verdana" w:hAnsi="Verdana" w:cs="Arial"/>
          <w:sz w:val="22"/>
          <w:szCs w:val="22"/>
        </w:rPr>
        <w:t>.</w:t>
      </w:r>
    </w:p>
    <w:p w14:paraId="21346E97" w14:textId="77777777" w:rsidR="00204991" w:rsidRPr="00BF12FC" w:rsidRDefault="00204991" w:rsidP="00204991">
      <w:pPr>
        <w:pStyle w:val="NormaleWeb"/>
        <w:spacing w:before="0" w:beforeAutospacing="0" w:after="0" w:afterAutospacing="0" w:line="280" w:lineRule="exact"/>
        <w:jc w:val="both"/>
        <w:rPr>
          <w:rFonts w:ascii="Verdana" w:hAnsi="Verdana" w:cs="Arial"/>
          <w:sz w:val="22"/>
          <w:szCs w:val="22"/>
        </w:rPr>
      </w:pPr>
    </w:p>
    <w:p w14:paraId="7EB4E3D7" w14:textId="56F771D7" w:rsidR="003C7495" w:rsidRPr="00BF12FC" w:rsidRDefault="00204991" w:rsidP="00204991">
      <w:pPr>
        <w:spacing w:line="280" w:lineRule="exact"/>
        <w:jc w:val="both"/>
        <w:rPr>
          <w:rFonts w:ascii="Verdana" w:hAnsi="Verdana"/>
          <w:sz w:val="22"/>
          <w:szCs w:val="22"/>
        </w:rPr>
      </w:pPr>
      <w:r w:rsidRPr="00BF12FC">
        <w:rPr>
          <w:rFonts w:ascii="Verdana" w:hAnsi="Verdana"/>
          <w:sz w:val="22"/>
          <w:szCs w:val="22"/>
        </w:rPr>
        <w:t>“L’</w:t>
      </w:r>
      <w:r w:rsidR="003C7495" w:rsidRPr="00BF12FC">
        <w:rPr>
          <w:rFonts w:ascii="Verdana" w:hAnsi="Verdana"/>
          <w:sz w:val="22"/>
          <w:szCs w:val="22"/>
        </w:rPr>
        <w:t xml:space="preserve">Anaao </w:t>
      </w:r>
      <w:r w:rsidRPr="00BF12FC">
        <w:rPr>
          <w:rFonts w:ascii="Verdana" w:hAnsi="Verdana"/>
          <w:sz w:val="22"/>
          <w:szCs w:val="22"/>
        </w:rPr>
        <w:t>Assomed ritiene</w:t>
      </w:r>
      <w:r w:rsidR="003C7495" w:rsidRPr="00BF12FC">
        <w:rPr>
          <w:rFonts w:ascii="Verdana" w:hAnsi="Verdana"/>
          <w:sz w:val="22"/>
          <w:szCs w:val="22"/>
        </w:rPr>
        <w:t xml:space="preserve"> sia interesse di tutti governare un fenomeno che è parte costitutiva dell’obbligo di garantire i Lea a tutti i cittadini del Paese per rispondere nel migliore dei modi al diritto alla sicurezza delle cure per i cittadini e gli operatori</w:t>
      </w:r>
      <w:r w:rsidRPr="00BF12FC">
        <w:rPr>
          <w:rFonts w:ascii="Verdana" w:hAnsi="Verdana"/>
          <w:sz w:val="22"/>
          <w:szCs w:val="22"/>
        </w:rPr>
        <w:t>”.</w:t>
      </w:r>
    </w:p>
    <w:p w14:paraId="14C1A798" w14:textId="77777777" w:rsidR="00204991" w:rsidRPr="00BF12FC" w:rsidRDefault="00204991" w:rsidP="00204991">
      <w:pPr>
        <w:spacing w:line="280" w:lineRule="exact"/>
        <w:jc w:val="both"/>
        <w:rPr>
          <w:rFonts w:ascii="Verdana" w:hAnsi="Verdana"/>
          <w:sz w:val="22"/>
          <w:szCs w:val="22"/>
        </w:rPr>
      </w:pPr>
    </w:p>
    <w:p w14:paraId="0AC489AE" w14:textId="77777777" w:rsidR="00204991" w:rsidRPr="00BF12FC" w:rsidRDefault="00204991" w:rsidP="00204991">
      <w:pPr>
        <w:spacing w:line="280" w:lineRule="exact"/>
        <w:jc w:val="both"/>
        <w:rPr>
          <w:rFonts w:ascii="Verdana" w:hAnsi="Verdana"/>
          <w:sz w:val="22"/>
          <w:szCs w:val="22"/>
        </w:rPr>
      </w:pPr>
      <w:r w:rsidRPr="00BF12FC">
        <w:rPr>
          <w:rFonts w:ascii="Verdana" w:hAnsi="Verdana"/>
          <w:sz w:val="22"/>
          <w:szCs w:val="22"/>
        </w:rPr>
        <w:t>“</w:t>
      </w:r>
      <w:r w:rsidR="003C7495" w:rsidRPr="00BF12FC">
        <w:rPr>
          <w:rFonts w:ascii="Verdana" w:hAnsi="Verdana"/>
          <w:sz w:val="22"/>
          <w:szCs w:val="22"/>
        </w:rPr>
        <w:t>Dopo la L</w:t>
      </w:r>
      <w:r w:rsidRPr="00BF12FC">
        <w:rPr>
          <w:rFonts w:ascii="Verdana" w:hAnsi="Verdana"/>
          <w:sz w:val="22"/>
          <w:szCs w:val="22"/>
        </w:rPr>
        <w:t>egge</w:t>
      </w:r>
      <w:r w:rsidR="003C7495" w:rsidRPr="00BF12FC">
        <w:rPr>
          <w:rFonts w:ascii="Verdana" w:hAnsi="Verdana"/>
          <w:sz w:val="22"/>
          <w:szCs w:val="22"/>
        </w:rPr>
        <w:t xml:space="preserve"> 24/2017</w:t>
      </w:r>
      <w:r w:rsidRPr="00BF12FC">
        <w:rPr>
          <w:rFonts w:ascii="Verdana" w:hAnsi="Verdana"/>
          <w:sz w:val="22"/>
          <w:szCs w:val="22"/>
        </w:rPr>
        <w:t xml:space="preserve"> Gelli-Bianco</w:t>
      </w:r>
      <w:r w:rsidR="003C7495" w:rsidRPr="00BF12FC">
        <w:rPr>
          <w:rFonts w:ascii="Verdana" w:hAnsi="Verdana"/>
          <w:sz w:val="22"/>
          <w:szCs w:val="22"/>
        </w:rPr>
        <w:t xml:space="preserve">, che ha certo segnato passi avanti, specie sul piano della responsabilità civile, servono </w:t>
      </w:r>
      <w:r w:rsidRPr="00BF12FC">
        <w:rPr>
          <w:rFonts w:ascii="Verdana" w:hAnsi="Verdana"/>
          <w:sz w:val="22"/>
          <w:szCs w:val="22"/>
        </w:rPr>
        <w:t xml:space="preserve">– a giudizio di </w:t>
      </w:r>
      <w:proofErr w:type="spellStart"/>
      <w:r w:rsidRPr="00BF12FC">
        <w:rPr>
          <w:rFonts w:ascii="Verdana" w:hAnsi="Verdana"/>
          <w:sz w:val="22"/>
          <w:szCs w:val="22"/>
        </w:rPr>
        <w:t>Di</w:t>
      </w:r>
      <w:proofErr w:type="spellEnd"/>
      <w:r w:rsidRPr="00BF12FC">
        <w:rPr>
          <w:rFonts w:ascii="Verdana" w:hAnsi="Verdana"/>
          <w:sz w:val="22"/>
          <w:szCs w:val="22"/>
        </w:rPr>
        <w:t xml:space="preserve"> Silverio - </w:t>
      </w:r>
      <w:r w:rsidR="003C7495" w:rsidRPr="00BF12FC">
        <w:rPr>
          <w:rFonts w:ascii="Verdana" w:hAnsi="Verdana"/>
          <w:sz w:val="22"/>
          <w:szCs w:val="22"/>
        </w:rPr>
        <w:t>nuovi strumenti legislativi, quali la definizione di nuovi principi in tema di formazione dell’albo dei consulenti tecnici; il passaggio ad un sistema assicurativo no fault, sul modello francese e scandinavo, svincolato dalla necessità di provare le responsabilità, al fine di ridurre il contenzioso legale; un diverso inquadramento penale della responsabilità medica; un maggiore ruolo riconosciuto al GIP</w:t>
      </w:r>
      <w:r w:rsidRPr="00BF12FC">
        <w:rPr>
          <w:rFonts w:ascii="Verdana" w:hAnsi="Verdana"/>
          <w:sz w:val="22"/>
          <w:szCs w:val="22"/>
        </w:rPr>
        <w:t xml:space="preserve">”. </w:t>
      </w:r>
    </w:p>
    <w:p w14:paraId="7BBFCB81" w14:textId="77777777" w:rsidR="00204991" w:rsidRPr="00BF12FC" w:rsidRDefault="00204991" w:rsidP="00204991">
      <w:pPr>
        <w:spacing w:line="280" w:lineRule="exact"/>
        <w:jc w:val="both"/>
        <w:rPr>
          <w:rFonts w:ascii="Verdana" w:hAnsi="Verdana"/>
          <w:sz w:val="22"/>
          <w:szCs w:val="22"/>
        </w:rPr>
      </w:pPr>
    </w:p>
    <w:p w14:paraId="7C95A69D" w14:textId="05ADA022" w:rsidR="003C7495" w:rsidRPr="00BF12FC" w:rsidRDefault="00204991" w:rsidP="00204991">
      <w:pPr>
        <w:spacing w:line="280" w:lineRule="exact"/>
        <w:jc w:val="both"/>
        <w:rPr>
          <w:rFonts w:ascii="Verdana" w:hAnsi="Verdana"/>
          <w:sz w:val="22"/>
          <w:szCs w:val="22"/>
        </w:rPr>
      </w:pPr>
      <w:r w:rsidRPr="00BF12FC">
        <w:rPr>
          <w:rFonts w:ascii="Verdana" w:hAnsi="Verdana"/>
          <w:sz w:val="22"/>
          <w:szCs w:val="22"/>
        </w:rPr>
        <w:t>“</w:t>
      </w:r>
      <w:r w:rsidR="003C7495" w:rsidRPr="00BF12FC">
        <w:rPr>
          <w:rFonts w:ascii="Verdana" w:hAnsi="Verdana"/>
          <w:sz w:val="22"/>
          <w:szCs w:val="22"/>
        </w:rPr>
        <w:t xml:space="preserve">Ma servono anche </w:t>
      </w:r>
      <w:r w:rsidRPr="00BF12FC">
        <w:rPr>
          <w:rFonts w:ascii="Verdana" w:hAnsi="Verdana"/>
          <w:sz w:val="22"/>
          <w:szCs w:val="22"/>
        </w:rPr>
        <w:t xml:space="preserve">– conclude Di Silverio - </w:t>
      </w:r>
      <w:r w:rsidR="003C7495" w:rsidRPr="00BF12FC">
        <w:rPr>
          <w:rFonts w:ascii="Verdana" w:hAnsi="Verdana"/>
          <w:sz w:val="22"/>
          <w:szCs w:val="22"/>
        </w:rPr>
        <w:t xml:space="preserve">nuovi approcci </w:t>
      </w:r>
      <w:r w:rsidRPr="00BF12FC">
        <w:rPr>
          <w:rFonts w:ascii="Verdana" w:hAnsi="Verdana"/>
          <w:sz w:val="22"/>
          <w:szCs w:val="22"/>
        </w:rPr>
        <w:t>culturali,</w:t>
      </w:r>
      <w:r w:rsidR="003C7495" w:rsidRPr="00BF12FC">
        <w:rPr>
          <w:rFonts w:ascii="Verdana" w:hAnsi="Verdana"/>
          <w:sz w:val="22"/>
          <w:szCs w:val="22"/>
        </w:rPr>
        <w:t xml:space="preserve"> a cominciare dal riconoscimento dell’innegabile peculiarità della professione medica e delle sue caratteristiche di specificità ed interesse sociale nonché delle crescenti difficoltà del contesto in cui essa oggi si </w:t>
      </w:r>
      <w:r w:rsidRPr="00BF12FC">
        <w:rPr>
          <w:rFonts w:ascii="Verdana" w:hAnsi="Verdana"/>
          <w:sz w:val="22"/>
          <w:szCs w:val="22"/>
        </w:rPr>
        <w:t>esprime.</w:t>
      </w:r>
      <w:r w:rsidR="003C7495" w:rsidRPr="00BF12FC">
        <w:rPr>
          <w:rFonts w:ascii="Verdana" w:hAnsi="Verdana"/>
          <w:sz w:val="22"/>
          <w:szCs w:val="22"/>
        </w:rPr>
        <w:t xml:space="preserve"> Come ha, peraltro, riconosciuto il provvedimento legislativo sullo </w:t>
      </w:r>
      <w:r w:rsidRPr="00BF12FC">
        <w:rPr>
          <w:rFonts w:ascii="Verdana" w:hAnsi="Verdana"/>
          <w:sz w:val="22"/>
          <w:szCs w:val="22"/>
        </w:rPr>
        <w:t>‘</w:t>
      </w:r>
      <w:r w:rsidR="003C7495" w:rsidRPr="00BF12FC">
        <w:rPr>
          <w:rFonts w:ascii="Verdana" w:hAnsi="Verdana"/>
          <w:sz w:val="22"/>
          <w:szCs w:val="22"/>
        </w:rPr>
        <w:t>scudo penale</w:t>
      </w:r>
      <w:r w:rsidRPr="00BF12FC">
        <w:rPr>
          <w:rFonts w:ascii="Verdana" w:hAnsi="Verdana"/>
          <w:sz w:val="22"/>
          <w:szCs w:val="22"/>
        </w:rPr>
        <w:t>’</w:t>
      </w:r>
      <w:r w:rsidR="003C7495" w:rsidRPr="00BF12FC">
        <w:rPr>
          <w:rFonts w:ascii="Verdana" w:hAnsi="Verdana"/>
          <w:sz w:val="22"/>
          <w:szCs w:val="22"/>
        </w:rPr>
        <w:t>, sia pure per un periodo limitato</w:t>
      </w:r>
      <w:r w:rsidRPr="00BF12FC">
        <w:rPr>
          <w:rFonts w:ascii="Verdana" w:hAnsi="Verdana"/>
          <w:sz w:val="22"/>
          <w:szCs w:val="22"/>
        </w:rPr>
        <w:t>”</w:t>
      </w:r>
      <w:r w:rsidR="003C7495" w:rsidRPr="00BF12FC">
        <w:rPr>
          <w:rFonts w:ascii="Verdana" w:hAnsi="Verdana"/>
          <w:sz w:val="22"/>
          <w:szCs w:val="22"/>
        </w:rPr>
        <w:t xml:space="preserve">. </w:t>
      </w:r>
    </w:p>
    <w:p w14:paraId="3D433ADD" w14:textId="77777777" w:rsidR="00597DFC" w:rsidRDefault="00597DFC" w:rsidP="00204991">
      <w:pPr>
        <w:spacing w:line="280" w:lineRule="exact"/>
        <w:jc w:val="both"/>
        <w:rPr>
          <w:rFonts w:ascii="Verdana" w:hAnsi="Verdana"/>
          <w:sz w:val="22"/>
          <w:szCs w:val="22"/>
        </w:rPr>
      </w:pPr>
    </w:p>
    <w:p w14:paraId="4DC50F97" w14:textId="77777777" w:rsidR="00597DFC" w:rsidRPr="00204991" w:rsidRDefault="00597DFC" w:rsidP="00204991">
      <w:pPr>
        <w:spacing w:line="280" w:lineRule="exact"/>
        <w:jc w:val="both"/>
        <w:rPr>
          <w:rFonts w:ascii="Verdana" w:hAnsi="Verdana"/>
          <w:sz w:val="22"/>
          <w:szCs w:val="22"/>
        </w:rPr>
      </w:pPr>
    </w:p>
    <w:p w14:paraId="1425CA73" w14:textId="77777777" w:rsidR="003C7495" w:rsidRPr="00204991" w:rsidRDefault="003C7495" w:rsidP="00204991">
      <w:pPr>
        <w:spacing w:line="280" w:lineRule="exact"/>
        <w:rPr>
          <w:rFonts w:ascii="Verdana" w:hAnsi="Verdana"/>
          <w:sz w:val="22"/>
          <w:szCs w:val="22"/>
        </w:rPr>
      </w:pPr>
    </w:p>
    <w:p w14:paraId="08D46989" w14:textId="77777777" w:rsidR="003C7495" w:rsidRPr="00204991" w:rsidRDefault="003C7495" w:rsidP="00204991">
      <w:pPr>
        <w:spacing w:line="280" w:lineRule="exact"/>
        <w:rPr>
          <w:rFonts w:ascii="Verdana" w:hAnsi="Verdana"/>
          <w:sz w:val="22"/>
          <w:szCs w:val="22"/>
        </w:rPr>
      </w:pPr>
    </w:p>
    <w:p w14:paraId="60F4B1D4" w14:textId="77777777" w:rsidR="00B34B94" w:rsidRPr="00204991" w:rsidRDefault="00B34B94" w:rsidP="00204991">
      <w:pPr>
        <w:spacing w:line="280" w:lineRule="exact"/>
        <w:rPr>
          <w:rFonts w:ascii="Verdana" w:hAnsi="Verdana"/>
          <w:sz w:val="22"/>
          <w:szCs w:val="22"/>
        </w:rPr>
      </w:pPr>
    </w:p>
    <w:sectPr w:rsidR="00B34B94" w:rsidRPr="00204991" w:rsidSect="00B03F9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47647" w14:textId="77777777" w:rsidR="00A6287D" w:rsidRDefault="00A6287D" w:rsidP="00A6287D">
      <w:pPr>
        <w:spacing w:line="240" w:lineRule="auto"/>
      </w:pPr>
      <w:r>
        <w:separator/>
      </w:r>
    </w:p>
  </w:endnote>
  <w:endnote w:type="continuationSeparator" w:id="0">
    <w:p w14:paraId="0270BC2F" w14:textId="77777777" w:rsidR="00A6287D" w:rsidRDefault="00A6287D" w:rsidP="00A62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0444994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D022C45" w14:textId="5007D78D" w:rsidR="00A6287D" w:rsidRPr="00A6287D" w:rsidRDefault="00A6287D">
        <w:pPr>
          <w:pStyle w:val="Pidipagina"/>
          <w:jc w:val="right"/>
          <w:rPr>
            <w:rFonts w:ascii="Verdana" w:hAnsi="Verdana"/>
            <w:sz w:val="18"/>
            <w:szCs w:val="18"/>
          </w:rPr>
        </w:pPr>
        <w:r w:rsidRPr="00A6287D">
          <w:rPr>
            <w:rFonts w:ascii="Verdana" w:hAnsi="Verdana"/>
            <w:sz w:val="18"/>
            <w:szCs w:val="18"/>
          </w:rPr>
          <w:fldChar w:fldCharType="begin"/>
        </w:r>
        <w:r w:rsidRPr="00A6287D">
          <w:rPr>
            <w:rFonts w:ascii="Verdana" w:hAnsi="Verdana"/>
            <w:sz w:val="18"/>
            <w:szCs w:val="18"/>
          </w:rPr>
          <w:instrText>PAGE   \* MERGEFORMAT</w:instrText>
        </w:r>
        <w:r w:rsidRPr="00A6287D">
          <w:rPr>
            <w:rFonts w:ascii="Verdana" w:hAnsi="Verdana"/>
            <w:sz w:val="18"/>
            <w:szCs w:val="18"/>
          </w:rPr>
          <w:fldChar w:fldCharType="separate"/>
        </w:r>
        <w:r w:rsidRPr="00A6287D">
          <w:rPr>
            <w:rFonts w:ascii="Verdana" w:hAnsi="Verdana"/>
            <w:sz w:val="18"/>
            <w:szCs w:val="18"/>
          </w:rPr>
          <w:t>2</w:t>
        </w:r>
        <w:r w:rsidRPr="00A6287D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0E59DF27" w14:textId="77777777" w:rsidR="00A6287D" w:rsidRDefault="00A628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57D5F" w14:textId="77777777" w:rsidR="00A6287D" w:rsidRDefault="00A6287D" w:rsidP="00A6287D">
      <w:pPr>
        <w:spacing w:line="240" w:lineRule="auto"/>
      </w:pPr>
      <w:r>
        <w:separator/>
      </w:r>
    </w:p>
  </w:footnote>
  <w:footnote w:type="continuationSeparator" w:id="0">
    <w:p w14:paraId="03C13771" w14:textId="77777777" w:rsidR="00A6287D" w:rsidRDefault="00A6287D" w:rsidP="00A628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BF9F" w14:textId="7E063B8D" w:rsidR="00A6287D" w:rsidRDefault="00A6287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2798AB" wp14:editId="3D66DB0F">
              <wp:simplePos x="0" y="0"/>
              <wp:positionH relativeFrom="column">
                <wp:posOffset>-120015</wp:posOffset>
              </wp:positionH>
              <wp:positionV relativeFrom="paragraph">
                <wp:posOffset>-212090</wp:posOffset>
              </wp:positionV>
              <wp:extent cx="2095500" cy="609600"/>
              <wp:effectExtent l="0" t="0" r="0" b="0"/>
              <wp:wrapNone/>
              <wp:docPr id="962887972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2804F0" w14:textId="77777777" w:rsidR="00A6287D" w:rsidRDefault="00A6287D">
                          <w:pPr>
                            <w:rPr>
                              <w:noProof/>
                            </w:rPr>
                          </w:pPr>
                        </w:p>
                        <w:p w14:paraId="5445ED7A" w14:textId="27B2C97A" w:rsidR="00A6287D" w:rsidRDefault="00A6287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9909B1" wp14:editId="4E5F0A36">
                                <wp:extent cx="1906270" cy="450850"/>
                                <wp:effectExtent l="0" t="0" r="0" b="6350"/>
                                <wp:docPr id="1015251164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5251164" name="Immagine 101525116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6270" cy="450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2798A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9.45pt;margin-top:-16.7pt;width:16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4Y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0f5bDLJMcQ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" filled="f" stroked="f" strokeweight=".5pt">
              <v:textbox>
                <w:txbxContent>
                  <w:p w14:paraId="262804F0" w14:textId="77777777" w:rsidR="00A6287D" w:rsidRDefault="00A6287D">
                    <w:pPr>
                      <w:rPr>
                        <w:noProof/>
                      </w:rPr>
                    </w:pPr>
                  </w:p>
                  <w:p w14:paraId="5445ED7A" w14:textId="27B2C97A" w:rsidR="00A6287D" w:rsidRDefault="00A6287D">
                    <w:r>
                      <w:rPr>
                        <w:noProof/>
                      </w:rPr>
                      <w:drawing>
                        <wp:inline distT="0" distB="0" distL="0" distR="0" wp14:anchorId="729909B1" wp14:editId="4E5F0A36">
                          <wp:extent cx="1906270" cy="450850"/>
                          <wp:effectExtent l="0" t="0" r="0" b="6350"/>
                          <wp:docPr id="1015251164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15251164" name="Immagine 101525116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6270" cy="450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12AF"/>
    <w:multiLevelType w:val="multilevel"/>
    <w:tmpl w:val="F372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46300"/>
    <w:multiLevelType w:val="multilevel"/>
    <w:tmpl w:val="8B6C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C01A6"/>
    <w:multiLevelType w:val="multilevel"/>
    <w:tmpl w:val="F5E4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332ED"/>
    <w:multiLevelType w:val="multilevel"/>
    <w:tmpl w:val="EE9A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DB41AA"/>
    <w:multiLevelType w:val="multilevel"/>
    <w:tmpl w:val="8B7C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9F2260"/>
    <w:multiLevelType w:val="multilevel"/>
    <w:tmpl w:val="F5DE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D72F7C"/>
    <w:multiLevelType w:val="hybridMultilevel"/>
    <w:tmpl w:val="CD4ECD40"/>
    <w:lvl w:ilvl="0" w:tplc="A47E0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82899">
    <w:abstractNumId w:val="5"/>
  </w:num>
  <w:num w:numId="2" w16cid:durableId="1073118868">
    <w:abstractNumId w:val="4"/>
  </w:num>
  <w:num w:numId="3" w16cid:durableId="1087773793">
    <w:abstractNumId w:val="1"/>
  </w:num>
  <w:num w:numId="4" w16cid:durableId="943458299">
    <w:abstractNumId w:val="3"/>
  </w:num>
  <w:num w:numId="5" w16cid:durableId="1512721736">
    <w:abstractNumId w:val="2"/>
  </w:num>
  <w:num w:numId="6" w16cid:durableId="705985276">
    <w:abstractNumId w:val="0"/>
  </w:num>
  <w:num w:numId="7" w16cid:durableId="129788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94"/>
    <w:rsid w:val="00044436"/>
    <w:rsid w:val="0006741F"/>
    <w:rsid w:val="0007218F"/>
    <w:rsid w:val="000F4621"/>
    <w:rsid w:val="00184A6F"/>
    <w:rsid w:val="00197265"/>
    <w:rsid w:val="001D19BC"/>
    <w:rsid w:val="001D4FD1"/>
    <w:rsid w:val="00204991"/>
    <w:rsid w:val="00285FB3"/>
    <w:rsid w:val="002B5CD3"/>
    <w:rsid w:val="002E2597"/>
    <w:rsid w:val="0030533C"/>
    <w:rsid w:val="00323321"/>
    <w:rsid w:val="0033674D"/>
    <w:rsid w:val="003C7495"/>
    <w:rsid w:val="00425372"/>
    <w:rsid w:val="00472A0F"/>
    <w:rsid w:val="00497E95"/>
    <w:rsid w:val="004A1B73"/>
    <w:rsid w:val="004D76BF"/>
    <w:rsid w:val="00516458"/>
    <w:rsid w:val="00542CEE"/>
    <w:rsid w:val="00546508"/>
    <w:rsid w:val="00577905"/>
    <w:rsid w:val="00597DFC"/>
    <w:rsid w:val="0065647E"/>
    <w:rsid w:val="00667BDB"/>
    <w:rsid w:val="006959D1"/>
    <w:rsid w:val="006E1F32"/>
    <w:rsid w:val="006F3C12"/>
    <w:rsid w:val="00712335"/>
    <w:rsid w:val="007274C8"/>
    <w:rsid w:val="007317A1"/>
    <w:rsid w:val="00751DD4"/>
    <w:rsid w:val="0078739C"/>
    <w:rsid w:val="007C43DF"/>
    <w:rsid w:val="00856074"/>
    <w:rsid w:val="008A72BC"/>
    <w:rsid w:val="00902488"/>
    <w:rsid w:val="00926DB3"/>
    <w:rsid w:val="009B58A1"/>
    <w:rsid w:val="009B71A8"/>
    <w:rsid w:val="00A35F44"/>
    <w:rsid w:val="00A6287D"/>
    <w:rsid w:val="00AB52DE"/>
    <w:rsid w:val="00B03F97"/>
    <w:rsid w:val="00B34B94"/>
    <w:rsid w:val="00B9436B"/>
    <w:rsid w:val="00BA662F"/>
    <w:rsid w:val="00BF12FC"/>
    <w:rsid w:val="00BF3872"/>
    <w:rsid w:val="00C2668E"/>
    <w:rsid w:val="00C26DDE"/>
    <w:rsid w:val="00C4435F"/>
    <w:rsid w:val="00C52171"/>
    <w:rsid w:val="00CD3A83"/>
    <w:rsid w:val="00D04986"/>
    <w:rsid w:val="00D13600"/>
    <w:rsid w:val="00D56EFC"/>
    <w:rsid w:val="00D92384"/>
    <w:rsid w:val="00DC0F20"/>
    <w:rsid w:val="00DF7E4C"/>
    <w:rsid w:val="00E05DE0"/>
    <w:rsid w:val="00E23685"/>
    <w:rsid w:val="00E277CA"/>
    <w:rsid w:val="00E53580"/>
    <w:rsid w:val="00F25A02"/>
    <w:rsid w:val="00F519DB"/>
    <w:rsid w:val="00F700DF"/>
    <w:rsid w:val="00FC15B8"/>
    <w:rsid w:val="00F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FA2B03"/>
  <w15:chartTrackingRefBased/>
  <w15:docId w15:val="{CD534658-101A-4562-82B7-FCB1FFD0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3580"/>
    <w:pPr>
      <w:spacing w:after="0" w:line="340" w:lineRule="exact"/>
    </w:pPr>
    <w:rPr>
      <w:rFonts w:ascii="Calibri" w:hAnsi="Calibri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34B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34B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AAO">
    <w:name w:val="ANAAO"/>
    <w:basedOn w:val="Normale"/>
    <w:link w:val="ANAAOCarattere"/>
    <w:uiPriority w:val="1"/>
    <w:qFormat/>
    <w:rsid w:val="00E23685"/>
    <w:pPr>
      <w:widowControl w:val="0"/>
      <w:autoSpaceDE w:val="0"/>
      <w:autoSpaceDN w:val="0"/>
      <w:adjustRightInd w:val="0"/>
      <w:jc w:val="both"/>
    </w:pPr>
    <w:rPr>
      <w:rFonts w:asciiTheme="minorHAnsi" w:hAnsiTheme="minorHAnsi" w:cstheme="minorBidi"/>
      <w:color w:val="212529"/>
      <w:szCs w:val="22"/>
      <w:lang w:eastAsia="en-US"/>
    </w:rPr>
  </w:style>
  <w:style w:type="character" w:customStyle="1" w:styleId="ANAAOCarattere">
    <w:name w:val="ANAAO Carattere"/>
    <w:basedOn w:val="Carpredefinitoparagrafo"/>
    <w:link w:val="ANAAO"/>
    <w:uiPriority w:val="1"/>
    <w:rsid w:val="00E23685"/>
    <w:rPr>
      <w:color w:val="212529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4B94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4B94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B34B94"/>
    <w:rPr>
      <w:b/>
      <w:bCs/>
    </w:rPr>
  </w:style>
  <w:style w:type="paragraph" w:styleId="NormaleWeb">
    <w:name w:val="Normal (Web)"/>
    <w:basedOn w:val="Normale"/>
    <w:uiPriority w:val="99"/>
    <w:unhideWhenUsed/>
    <w:rsid w:val="00B34B9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3367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287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87D"/>
    <w:rPr>
      <w:rFonts w:ascii="Calibri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287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87D"/>
    <w:rPr>
      <w:rFonts w:ascii="Calibri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Luigi Pio Berliri</cp:lastModifiedBy>
  <cp:revision>2</cp:revision>
  <dcterms:created xsi:type="dcterms:W3CDTF">2025-06-10T09:08:00Z</dcterms:created>
  <dcterms:modified xsi:type="dcterms:W3CDTF">2025-06-10T09:08:00Z</dcterms:modified>
</cp:coreProperties>
</file>