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E1D9" w14:textId="47158FA6" w:rsidR="00BF6216" w:rsidRDefault="00BF6216" w:rsidP="00BF6216">
      <w:r>
        <w:t>DDL semplificazioni 2024: cosa prevede</w:t>
      </w:r>
    </w:p>
    <w:p w14:paraId="7002231D" w14:textId="7FB4B5A6" w:rsidR="000C5267" w:rsidRDefault="00BF6216" w:rsidP="00BF6216">
      <w:r>
        <w:t>La guida sul DDL semplificazioni 2024 con novità su imprese, scuola e servizi ai cittadini</w:t>
      </w:r>
      <w:r>
        <w:t>.</w:t>
      </w:r>
    </w:p>
    <w:p w14:paraId="1307A206" w14:textId="77777777" w:rsidR="00BF6216" w:rsidRPr="00BF6216" w:rsidRDefault="00BF6216" w:rsidP="00BF6216">
      <w:r w:rsidRPr="00BF6216">
        <w:t xml:space="preserve">Nel </w:t>
      </w:r>
      <w:proofErr w:type="gramStart"/>
      <w:r w:rsidRPr="00BF6216">
        <w:t>Consiglio dei Ministri</w:t>
      </w:r>
      <w:proofErr w:type="gramEnd"/>
      <w:r w:rsidRPr="00BF6216">
        <w:t xml:space="preserve"> del 26 marzo 2024 è stato approvato il nuovo DDL semplificazioni 2024, ossia il </w:t>
      </w:r>
      <w:r w:rsidRPr="00BF6216">
        <w:rPr>
          <w:b/>
          <w:bCs/>
        </w:rPr>
        <w:t>Disegno di</w:t>
      </w:r>
      <w:r w:rsidRPr="00BF6216">
        <w:t xml:space="preserve"> </w:t>
      </w:r>
      <w:r w:rsidRPr="00BF6216">
        <w:rPr>
          <w:b/>
          <w:bCs/>
        </w:rPr>
        <w:t>Legge Semplificazioni,</w:t>
      </w:r>
      <w:r w:rsidRPr="00BF6216">
        <w:t xml:space="preserve"> coordinato dal Ministero della Pubblica Amministrazione sotto la guida del Ministro </w:t>
      </w:r>
      <w:r w:rsidRPr="00BF6216">
        <w:rPr>
          <w:b/>
          <w:bCs/>
        </w:rPr>
        <w:t>Paolo Zangrillo.</w:t>
      </w:r>
    </w:p>
    <w:p w14:paraId="26DF7861" w14:textId="77777777" w:rsidR="00BF6216" w:rsidRPr="00BF6216" w:rsidRDefault="00BF6216" w:rsidP="00BF6216">
      <w:r w:rsidRPr="00BF6216">
        <w:t xml:space="preserve">Al testo è connesso anche il </w:t>
      </w:r>
      <w:r w:rsidRPr="00BF6216">
        <w:rPr>
          <w:b/>
          <w:bCs/>
        </w:rPr>
        <w:t>DPR semplificazioni 2024,</w:t>
      </w:r>
      <w:r w:rsidRPr="00BF6216">
        <w:t xml:space="preserve"> ovvero lo schema di regolamento che semplifica l’accesso ai servizi pubblici dell’anagrafe, dello Stato civile e funerari per i cittadini.</w:t>
      </w:r>
    </w:p>
    <w:p w14:paraId="6619DD8E" w14:textId="77777777" w:rsidR="00BF6216" w:rsidRPr="00BF6216" w:rsidRDefault="00BF6216" w:rsidP="00BF6216">
      <w:r w:rsidRPr="00BF6216">
        <w:t xml:space="preserve">Chiariamo che le </w:t>
      </w:r>
      <w:r w:rsidRPr="00BF6216">
        <w:rPr>
          <w:b/>
          <w:bCs/>
        </w:rPr>
        <w:t>regole introdotte dal DDL</w:t>
      </w:r>
      <w:r w:rsidRPr="00BF6216">
        <w:t xml:space="preserve"> (</w:t>
      </w:r>
      <w:r w:rsidRPr="00BF6216">
        <w:rPr>
          <w:i/>
          <w:iCs/>
        </w:rPr>
        <w:t>come quelle del DPR</w:t>
      </w:r>
      <w:r w:rsidRPr="00BF6216">
        <w:t>) entreranno in vigore solo dopo la pubblicazione in Gazzetta Ufficiale del testo ufficiale.</w:t>
      </w:r>
    </w:p>
    <w:p w14:paraId="095572E5" w14:textId="77777777" w:rsidR="00BF6216" w:rsidRPr="00BF6216" w:rsidRDefault="00BF6216" w:rsidP="00BF6216">
      <w:r w:rsidRPr="00BF6216">
        <w:t>In attesa che il testo definitivo sia pubblico, scopriamo insieme</w:t>
      </w:r>
      <w:r w:rsidRPr="00BF6216">
        <w:rPr>
          <w:b/>
          <w:bCs/>
        </w:rPr>
        <w:t xml:space="preserve"> cosa prevede il DDL semplificazioni 2024,</w:t>
      </w:r>
      <w:r w:rsidRPr="00BF6216">
        <w:t xml:space="preserve"> spiegando i provvedimenti, in modo chiaro e per punti.</w:t>
      </w:r>
    </w:p>
    <w:p w14:paraId="2E257AA8" w14:textId="77777777" w:rsidR="00BF6216" w:rsidRPr="00BF6216" w:rsidRDefault="00BF6216" w:rsidP="00BF6216">
      <w:pPr>
        <w:rPr>
          <w:b/>
          <w:bCs/>
        </w:rPr>
      </w:pPr>
      <w:r w:rsidRPr="00BF6216">
        <w:rPr>
          <w:b/>
          <w:bCs/>
        </w:rPr>
        <w:t>1) SCUOLA, SPARISCE L’ABOLIZIONE DELLA CALL VELOCE</w:t>
      </w:r>
    </w:p>
    <w:p w14:paraId="6EDF5319" w14:textId="77777777" w:rsidR="00BF6216" w:rsidRPr="00BF6216" w:rsidRDefault="00BF6216" w:rsidP="00BF6216">
      <w:r w:rsidRPr="00BF6216">
        <w:t xml:space="preserve">Nell’ultima bozza disponibile post </w:t>
      </w:r>
      <w:proofErr w:type="gramStart"/>
      <w:r w:rsidRPr="00BF6216">
        <w:t>Consiglio dei Ministri</w:t>
      </w:r>
      <w:proofErr w:type="gramEnd"/>
      <w:r w:rsidRPr="00BF6216">
        <w:t xml:space="preserve">, sparisce l’abolizione della </w:t>
      </w:r>
      <w:hyperlink r:id="rId5" w:history="1">
        <w:r w:rsidRPr="00BF6216">
          <w:rPr>
            <w:rStyle w:val="Collegamentoipertestuale"/>
          </w:rPr>
          <w:t>call veloce docenti</w:t>
        </w:r>
      </w:hyperlink>
      <w:r w:rsidRPr="00BF6216">
        <w:t xml:space="preserve"> dal DDL semplificazioni. Inizialmente il testo prevedeva che a partire dalle operazioni di assunzione a tempo indeterminato relative all’anno scolastico 2024 2025, poteva essere abrogata la procedura della </w:t>
      </w:r>
      <w:r w:rsidRPr="00BF6216">
        <w:rPr>
          <w:b/>
          <w:bCs/>
        </w:rPr>
        <w:t>Call Veloce.</w:t>
      </w:r>
      <w:r w:rsidRPr="00BF6216">
        <w:t xml:space="preserve"> Ricordiamo che questa procedura disciplina la </w:t>
      </w:r>
      <w:r w:rsidRPr="00BF6216">
        <w:rPr>
          <w:b/>
          <w:bCs/>
        </w:rPr>
        <w:t>chiamata per l’assunzione a tempo indeterminato</w:t>
      </w:r>
      <w:r w:rsidRPr="00BF6216">
        <w:t xml:space="preserve"> di personale docente </w:t>
      </w:r>
      <w:proofErr w:type="gramStart"/>
      <w:r w:rsidRPr="00BF6216">
        <w:t>ed</w:t>
      </w:r>
      <w:proofErr w:type="gramEnd"/>
      <w:r w:rsidRPr="00BF6216">
        <w:t xml:space="preserve"> educativo sui posti rimasti vacanti dopo le altre operazioni di assunzione permanenti.</w:t>
      </w:r>
    </w:p>
    <w:p w14:paraId="0883DEA5" w14:textId="77777777" w:rsidR="00BF6216" w:rsidRPr="00BF6216" w:rsidRDefault="00BF6216" w:rsidP="00BF6216">
      <w:r w:rsidRPr="00BF6216">
        <w:t xml:space="preserve">Il DDL semplificazioni 2024 avrebbe dovuto stabilire, per le immissioni in ruolo del 2024 2025, </w:t>
      </w:r>
      <w:r w:rsidRPr="00BF6216">
        <w:rPr>
          <w:b/>
          <w:bCs/>
        </w:rPr>
        <w:t>nuove modalità di assunzione</w:t>
      </w:r>
      <w:r w:rsidRPr="00BF6216">
        <w:t>, con una suddivisione al 50% tra le Graduatorie ad Esaurimento (</w:t>
      </w:r>
      <w:proofErr w:type="spellStart"/>
      <w:r w:rsidRPr="00BF6216">
        <w:t>GaE</w:t>
      </w:r>
      <w:proofErr w:type="spellEnd"/>
      <w:r w:rsidRPr="00BF6216">
        <w:t xml:space="preserve">) e i </w:t>
      </w:r>
      <w:hyperlink r:id="rId6" w:history="1">
        <w:r w:rsidRPr="00BF6216">
          <w:rPr>
            <w:rStyle w:val="Collegamentoipertestuale"/>
          </w:rPr>
          <w:t>concorsi docenti</w:t>
        </w:r>
      </w:hyperlink>
      <w:r w:rsidRPr="00BF6216">
        <w:t xml:space="preserve">. Poi però, in </w:t>
      </w:r>
      <w:proofErr w:type="gramStart"/>
      <w:r w:rsidRPr="00BF6216">
        <w:t>Consiglio dei Ministri</w:t>
      </w:r>
      <w:proofErr w:type="gramEnd"/>
      <w:r w:rsidRPr="00BF6216">
        <w:t xml:space="preserve">, l’ipotesi di abolizione della Call Veloce sarebbe saltata, come vi spieghiamo nel dettaglio in </w:t>
      </w:r>
      <w:hyperlink r:id="rId7" w:history="1">
        <w:r w:rsidRPr="00BF6216">
          <w:rPr>
            <w:rStyle w:val="Collegamentoipertestuale"/>
          </w:rPr>
          <w:t>questo approfondimento</w:t>
        </w:r>
      </w:hyperlink>
      <w:r w:rsidRPr="00BF6216">
        <w:t xml:space="preserve">. Chiariamo che bisognerà attendere l’ok ufficiale del testo nel </w:t>
      </w:r>
      <w:proofErr w:type="gramStart"/>
      <w:r w:rsidRPr="00BF6216">
        <w:t>Consiglio dei Ministri</w:t>
      </w:r>
      <w:proofErr w:type="gramEnd"/>
      <w:r w:rsidRPr="00BF6216">
        <w:t xml:space="preserve"> per avere conferme in merito. E noi, vi aggiorneremo.</w:t>
      </w:r>
    </w:p>
    <w:p w14:paraId="43A9D7EF" w14:textId="77777777" w:rsidR="00BF6216" w:rsidRPr="00BF6216" w:rsidRDefault="00BF6216" w:rsidP="00BF6216">
      <w:pPr>
        <w:rPr>
          <w:b/>
          <w:bCs/>
        </w:rPr>
      </w:pPr>
      <w:r w:rsidRPr="00BF6216">
        <w:rPr>
          <w:b/>
          <w:bCs/>
        </w:rPr>
        <w:t>2) NOVITÀ PER DOCENTI DI SOSTEGNO E SUPPLENTI</w:t>
      </w:r>
    </w:p>
    <w:p w14:paraId="65CDC044" w14:textId="77777777" w:rsidR="00BF6216" w:rsidRPr="00BF6216" w:rsidRDefault="00BF6216" w:rsidP="00BF6216">
      <w:r w:rsidRPr="00BF6216">
        <w:t xml:space="preserve">Il Ministero dell’Istruzione e del Merito nel DDL ha stabilito una </w:t>
      </w:r>
      <w:r w:rsidRPr="00BF6216">
        <w:rPr>
          <w:b/>
          <w:bCs/>
        </w:rPr>
        <w:t>corsia preferenziale per la conferma dei supplenti annuali.</w:t>
      </w:r>
      <w:r w:rsidRPr="00BF6216">
        <w:t xml:space="preserve"> Il testo, ancora in bozza, prevede che i precari, inclusi quelli senza specializzazione, che abbiano svolto una supplenza annuale o fino al 30 giugno dell’anno in corso, possano essere confermati su richiesta delle famiglie.</w:t>
      </w:r>
    </w:p>
    <w:p w14:paraId="2155E5BE" w14:textId="77777777" w:rsidR="00BF6216" w:rsidRPr="00BF6216" w:rsidRDefault="00BF6216" w:rsidP="00BF6216">
      <w:r w:rsidRPr="00BF6216">
        <w:t>Inoltre,</w:t>
      </w:r>
      <w:r w:rsidRPr="00BF6216">
        <w:rPr>
          <w:b/>
          <w:bCs/>
        </w:rPr>
        <w:t xml:space="preserve"> i docenti in possesso del titolo di specializzazione per il sostegno</w:t>
      </w:r>
      <w:r w:rsidRPr="00BF6216">
        <w:t xml:space="preserve"> </w:t>
      </w:r>
      <w:r w:rsidRPr="00BF6216">
        <w:rPr>
          <w:b/>
          <w:bCs/>
        </w:rPr>
        <w:t>avranno priorità assoluta nella conferma</w:t>
      </w:r>
      <w:r w:rsidRPr="00BF6216">
        <w:t xml:space="preserve"> sullo stesso posto l’anno successivo. Questa priorità si applica anche ai docenti senza specializzazione che hanno svolto </w:t>
      </w:r>
      <w:proofErr w:type="gramStart"/>
      <w:r w:rsidRPr="00BF6216">
        <w:t>3</w:t>
      </w:r>
      <w:proofErr w:type="gramEnd"/>
      <w:r w:rsidRPr="00BF6216">
        <w:t xml:space="preserve"> anni di insegnamento su posto di sostegno e si sono classificati con il miglior punteggio nelle graduatorie di sostegno. È previsto anche un punteggio aggiuntivo per il personale che assicuri la continuità didattica.</w:t>
      </w:r>
    </w:p>
    <w:p w14:paraId="775B7938" w14:textId="77777777" w:rsidR="00BF6216" w:rsidRPr="00BF6216" w:rsidRDefault="00BF6216" w:rsidP="00BF6216">
      <w:r w:rsidRPr="00BF6216">
        <w:t xml:space="preserve">L’obiettivo di questa misura è garantire un ciclo completo di sostegno per ogni studente con disabilità. Per tutti i dettagli potete leggere </w:t>
      </w:r>
      <w:hyperlink r:id="rId8" w:history="1">
        <w:r w:rsidRPr="00BF6216">
          <w:rPr>
            <w:rStyle w:val="Collegamentoipertestuale"/>
          </w:rPr>
          <w:t>questo approfondimento</w:t>
        </w:r>
      </w:hyperlink>
      <w:r w:rsidRPr="00BF6216">
        <w:t>.</w:t>
      </w:r>
    </w:p>
    <w:p w14:paraId="64811395" w14:textId="77777777" w:rsidR="00F10154" w:rsidRPr="00F10154" w:rsidRDefault="00F10154" w:rsidP="00F10154">
      <w:pPr>
        <w:rPr>
          <w:b/>
          <w:bCs/>
        </w:rPr>
      </w:pPr>
      <w:r w:rsidRPr="00F10154">
        <w:rPr>
          <w:b/>
          <w:bCs/>
        </w:rPr>
        <w:t>3) NUOVE REGOLE PER LE SCUOLE PARITARIE</w:t>
      </w:r>
    </w:p>
    <w:p w14:paraId="121F9C1B" w14:textId="7EF9F32A" w:rsidR="00F10154" w:rsidRPr="00F10154" w:rsidRDefault="00F10154" w:rsidP="00F10154">
      <w:r w:rsidRPr="00F10154">
        <w:t xml:space="preserve">Nel testo del </w:t>
      </w:r>
      <w:r w:rsidRPr="00F10154">
        <w:rPr>
          <w:b/>
          <w:bCs/>
        </w:rPr>
        <w:t>DDL semplificazioni</w:t>
      </w:r>
      <w:r w:rsidRPr="00F10154">
        <w:t xml:space="preserve"> arrivano delle misure che attengono alle </w:t>
      </w:r>
      <w:r w:rsidRPr="00F10154">
        <w:rPr>
          <w:b/>
          <w:bCs/>
        </w:rPr>
        <w:t>scuole paritarie</w:t>
      </w:r>
      <w:r w:rsidRPr="00F10154">
        <w:t>, le quali potranno creare classi temporanee in caso di eccessivo numero di iscritti. Poi, in caso di ritardi nei pagamenti di tasse e contributi, non perderanno lo status di paritarie se vantano un credito compensabile con il Ministero dell’Istruzione.</w:t>
      </w:r>
    </w:p>
    <w:p w14:paraId="61B4666A" w14:textId="77777777" w:rsidR="00F10154" w:rsidRPr="00F10154" w:rsidRDefault="00F10154" w:rsidP="00F10154">
      <w:pPr>
        <w:rPr>
          <w:b/>
          <w:bCs/>
        </w:rPr>
      </w:pPr>
      <w:r w:rsidRPr="00F10154">
        <w:rPr>
          <w:b/>
          <w:bCs/>
        </w:rPr>
        <w:t>4) OK ALLA PIATTAFORMA PER LE ISCRIZIONI A SCUOLA</w:t>
      </w:r>
    </w:p>
    <w:p w14:paraId="60C9C999" w14:textId="77777777" w:rsidR="00F10154" w:rsidRPr="00F10154" w:rsidRDefault="00F10154" w:rsidP="00F10154">
      <w:r w:rsidRPr="00F10154">
        <w:t xml:space="preserve">A partire dall’anno scolastico 2024 2025, </w:t>
      </w:r>
      <w:r w:rsidRPr="00F10154">
        <w:rPr>
          <w:b/>
          <w:bCs/>
        </w:rPr>
        <w:t>l’iscrizione alle scuole statali di primo e secondo ciclo</w:t>
      </w:r>
      <w:r w:rsidRPr="00F10154">
        <w:t xml:space="preserve"> avviene online tramite una piattaforma dedicata. Le scuole secondarie di primo grado devono ottenere l’attestato di ammissione alla scuola successiva dalla stessa piattaforma per iscrivere gli studenti al primo anno.</w:t>
      </w:r>
    </w:p>
    <w:p w14:paraId="3847CB4C" w14:textId="77777777" w:rsidR="00F10154" w:rsidRDefault="00F10154" w:rsidP="00F10154">
      <w:r w:rsidRPr="00F10154">
        <w:t>Per quanto riguarda</w:t>
      </w:r>
      <w:r w:rsidRPr="00F10154">
        <w:rPr>
          <w:b/>
          <w:bCs/>
        </w:rPr>
        <w:t xml:space="preserve"> le scuole secondarie di secondo grado,</w:t>
      </w:r>
      <w:r w:rsidRPr="00F10154">
        <w:t xml:space="preserve"> devono acquisire l’attestato di superamento dell’esame di Stato conclusivo del primo ciclo, compreso il voto finale, sempre attraverso </w:t>
      </w:r>
      <w:r w:rsidRPr="00F10154">
        <w:lastRenderedPageBreak/>
        <w:t>la piattaforma, per iscrivere gli studenti al primo anno. L’attestato così ottenuto è valido per l’ammissione all’</w:t>
      </w:r>
      <w:r w:rsidRPr="00F10154">
        <w:rPr>
          <w:b/>
          <w:bCs/>
        </w:rPr>
        <w:t>esame di Stato conclusivo</w:t>
      </w:r>
      <w:r w:rsidRPr="00F10154">
        <w:t xml:space="preserve"> del secondo ciclo d’istruzione.</w:t>
      </w:r>
    </w:p>
    <w:p w14:paraId="17E2BE80" w14:textId="77777777" w:rsidR="00F10154" w:rsidRPr="00F10154" w:rsidRDefault="00F10154" w:rsidP="00F10154">
      <w:pPr>
        <w:rPr>
          <w:b/>
          <w:bCs/>
        </w:rPr>
      </w:pPr>
      <w:r w:rsidRPr="00F10154">
        <w:rPr>
          <w:b/>
          <w:bCs/>
        </w:rPr>
        <w:t>5) NOVITÀ PER LE EDUCATRICI DELL’INFANZIA</w:t>
      </w:r>
    </w:p>
    <w:p w14:paraId="70B2F7DC" w14:textId="77777777" w:rsidR="00F10154" w:rsidRPr="00F10154" w:rsidRDefault="00F10154" w:rsidP="00F10154">
      <w:r w:rsidRPr="00F10154">
        <w:t xml:space="preserve">Le educatrici degli asili nido e delle scuole dell’infanzia non saranno più responsabili delle </w:t>
      </w:r>
      <w:r w:rsidRPr="00F10154">
        <w:rPr>
          <w:b/>
          <w:bCs/>
        </w:rPr>
        <w:t xml:space="preserve">attività ludico – ricreative </w:t>
      </w:r>
      <w:r w:rsidRPr="00F10154">
        <w:t>o di</w:t>
      </w:r>
      <w:r w:rsidRPr="00F10154">
        <w:rPr>
          <w:b/>
          <w:bCs/>
        </w:rPr>
        <w:t xml:space="preserve"> mero accudimento</w:t>
      </w:r>
      <w:r w:rsidRPr="00F10154">
        <w:t>, che saranno separate dai loro compiti. Questo consentirà loro di dedicarsi maggiormente all’aspetto educativo, promuovendo una crescita più equilibrata e armoniosa dei bambini.</w:t>
      </w:r>
    </w:p>
    <w:p w14:paraId="1CDB9814" w14:textId="77777777" w:rsidR="00F10154" w:rsidRPr="00F10154" w:rsidRDefault="00F10154" w:rsidP="00F10154">
      <w:r w:rsidRPr="00F10154">
        <w:t>Il DDL prevede anche che il</w:t>
      </w:r>
      <w:r w:rsidRPr="00F10154">
        <w:rPr>
          <w:b/>
          <w:bCs/>
        </w:rPr>
        <w:t xml:space="preserve"> Fondo nazionale per il Sistema integrato di educazione e di istruzione,</w:t>
      </w:r>
      <w:r w:rsidRPr="00F10154">
        <w:t xml:space="preserve"> che attualmente finanzia quota parte delle spese di gestione dei servizi educativi per l’infanzia e delle scuole dell’infanzia, d’ora in poi finanzi esclusivamente servizi educativi per l’infanzia accreditati, oltre alle scuole dell’infanzia, anche al fine di ridurre la partecipazione economica delle famiglie.</w:t>
      </w:r>
    </w:p>
    <w:p w14:paraId="32CE89D5" w14:textId="77777777" w:rsidR="00A950AC" w:rsidRPr="00A950AC" w:rsidRDefault="00A950AC" w:rsidP="00A950AC">
      <w:pPr>
        <w:rPr>
          <w:b/>
          <w:bCs/>
        </w:rPr>
      </w:pPr>
      <w:r w:rsidRPr="00A950AC">
        <w:rPr>
          <w:b/>
          <w:bCs/>
        </w:rPr>
        <w:t>6) CONCORSI SCUOLA, NO AL RICONOSCIMENTO LAUREE ESTERE</w:t>
      </w:r>
    </w:p>
    <w:p w14:paraId="388A73AA" w14:textId="7ECFE6D8" w:rsidR="00A950AC" w:rsidRPr="00A950AC" w:rsidRDefault="00A950AC" w:rsidP="00A950AC">
      <w:r w:rsidRPr="00A950AC">
        <w:t xml:space="preserve">La bozza del DDL inizialmente prevedeva una misura significativa per le lauree ottenute all’estero. Queste lauree </w:t>
      </w:r>
      <w:r w:rsidRPr="00A950AC">
        <w:t>avrebbero dovuto</w:t>
      </w:r>
      <w:r w:rsidRPr="00A950AC">
        <w:t xml:space="preserve"> essere riconosciute e considerate valide anche nei concorsi per </w:t>
      </w:r>
      <w:r w:rsidRPr="00A950AC">
        <w:rPr>
          <w:b/>
          <w:bCs/>
        </w:rPr>
        <w:t>l’ingresso nel sistema scolastico nazionale.</w:t>
      </w:r>
    </w:p>
    <w:p w14:paraId="32841EF2" w14:textId="77777777" w:rsidR="00A950AC" w:rsidRPr="00A950AC" w:rsidRDefault="00A950AC" w:rsidP="00A950AC">
      <w:r w:rsidRPr="00A950AC">
        <w:t xml:space="preserve">Nella bozza finale che è stata resa nota dopo il </w:t>
      </w:r>
      <w:proofErr w:type="gramStart"/>
      <w:r w:rsidRPr="00A950AC">
        <w:t>Consiglio dei Ministri</w:t>
      </w:r>
      <w:proofErr w:type="gramEnd"/>
      <w:r w:rsidRPr="00A950AC">
        <w:t xml:space="preserve"> del 26 marzo 2024, però, tale ipotesi sembra essere stata accantonata. Vi aggiorneremo in caso di cambiamenti nel testo conclusivo.</w:t>
      </w:r>
    </w:p>
    <w:p w14:paraId="132578C8" w14:textId="77777777" w:rsidR="00A950AC" w:rsidRPr="00A950AC" w:rsidRDefault="00A950AC" w:rsidP="00A950AC">
      <w:pPr>
        <w:rPr>
          <w:b/>
          <w:bCs/>
        </w:rPr>
      </w:pPr>
      <w:r w:rsidRPr="00A950AC">
        <w:rPr>
          <w:b/>
          <w:bCs/>
        </w:rPr>
        <w:t>7) NOVITÀ PER I DOCENTI UNIVERSITARI</w:t>
      </w:r>
    </w:p>
    <w:p w14:paraId="1F97396B" w14:textId="77777777" w:rsidR="00A950AC" w:rsidRPr="00A950AC" w:rsidRDefault="00A950AC" w:rsidP="00A950AC">
      <w:r w:rsidRPr="00A950AC">
        <w:t xml:space="preserve">Il testo del Disegno di Legge semplificazioni 2024 stabilisce anche che i professori universitari che </w:t>
      </w:r>
      <w:r w:rsidRPr="00A950AC">
        <w:rPr>
          <w:b/>
          <w:bCs/>
        </w:rPr>
        <w:t>hanno raggiunto i 15 o 20 anni di servizio</w:t>
      </w:r>
      <w:r w:rsidRPr="00A950AC">
        <w:t xml:space="preserve"> come ordinari potranno ottenere </w:t>
      </w:r>
      <w:r w:rsidRPr="00A950AC">
        <w:rPr>
          <w:b/>
          <w:bCs/>
        </w:rPr>
        <w:t xml:space="preserve">il titolo di emeriti o onorari </w:t>
      </w:r>
      <w:r w:rsidRPr="00A950AC">
        <w:t>anche dopo la pensione o le dimissioni. Questo rappresenta un importante riconoscimento per il loro impegno e la loro dedizione nel campo dell’istruzione superiore. Nello specifico, entro due anni dalla data di collocamento a riposo o di accettazione delle dimissioni, ai professori ordinari può essere conferito alternativamente:</w:t>
      </w:r>
    </w:p>
    <w:p w14:paraId="07829085" w14:textId="77777777" w:rsidR="00A950AC" w:rsidRPr="00A950AC" w:rsidRDefault="00A950AC" w:rsidP="00A950AC">
      <w:pPr>
        <w:numPr>
          <w:ilvl w:val="0"/>
          <w:numId w:val="1"/>
        </w:numPr>
      </w:pPr>
      <w:r w:rsidRPr="00A950AC">
        <w:rPr>
          <w:b/>
          <w:bCs/>
        </w:rPr>
        <w:t>il titolo di professore emerito</w:t>
      </w:r>
      <w:r w:rsidRPr="00A950AC">
        <w:t xml:space="preserve"> se hanno prestato servizio nel ruolo di professore di prima fascia per almeno 20 anni;</w:t>
      </w:r>
    </w:p>
    <w:p w14:paraId="09C15346" w14:textId="77777777" w:rsidR="00A950AC" w:rsidRPr="00A950AC" w:rsidRDefault="00A950AC" w:rsidP="00A950AC">
      <w:pPr>
        <w:numPr>
          <w:ilvl w:val="0"/>
          <w:numId w:val="2"/>
        </w:numPr>
      </w:pPr>
      <w:r w:rsidRPr="00A950AC">
        <w:rPr>
          <w:b/>
          <w:bCs/>
        </w:rPr>
        <w:t>il titolo di professore onorario</w:t>
      </w:r>
      <w:r w:rsidRPr="00A950AC">
        <w:t xml:space="preserve"> se il servizio è stato di almeno 15 anni.</w:t>
      </w:r>
    </w:p>
    <w:p w14:paraId="58A44EB0" w14:textId="77777777" w:rsidR="00A950AC" w:rsidRPr="00A950AC" w:rsidRDefault="00A950AC" w:rsidP="00A950AC">
      <w:r w:rsidRPr="00A950AC">
        <w:t>Il</w:t>
      </w:r>
      <w:r w:rsidRPr="00A950AC">
        <w:rPr>
          <w:b/>
          <w:bCs/>
        </w:rPr>
        <w:t xml:space="preserve"> conferimento avviene tramite Decreto del Rettore,</w:t>
      </w:r>
      <w:r w:rsidRPr="00A950AC">
        <w:t xml:space="preserve"> previa deliberazione della Facoltà o Scuola di appartenenza, tenendo conto della qualità e della continuità della produzione scientifica del professore. I professori emeriti non godono di alcuna prerogativa accademica, ma l’elenco di coloro ai quali è stato conferito il titolo è pubblicato sul sito istituzionale dell’ateneo.</w:t>
      </w:r>
    </w:p>
    <w:p w14:paraId="326BA0DC" w14:textId="77777777" w:rsidR="00A950AC" w:rsidRPr="00A950AC" w:rsidRDefault="00A950AC" w:rsidP="00A950AC">
      <w:r w:rsidRPr="00A950AC">
        <w:t>Tuttavia, il titolo di professore emerito non può essere conferito a</w:t>
      </w:r>
      <w:r w:rsidRPr="00A950AC">
        <w:rPr>
          <w:b/>
          <w:bCs/>
        </w:rPr>
        <w:t xml:space="preserve"> coloro che hanno subito provvedimenti disciplinari</w:t>
      </w:r>
      <w:r w:rsidRPr="00A950AC">
        <w:t xml:space="preserve"> più gravi della censura o hanno riportato condanne penali passate in giudicato per delitti dolosi commessi nell’esercizio delle funzioni accademiche, né a coloro che hanno causato discredito all’Ateneo. Inoltre, con successivo </w:t>
      </w:r>
      <w:r w:rsidRPr="00A950AC">
        <w:rPr>
          <w:b/>
          <w:bCs/>
        </w:rPr>
        <w:t>Decreto del Ministro dell’università e della ricerca</w:t>
      </w:r>
      <w:r w:rsidRPr="00A950AC">
        <w:t xml:space="preserve"> possono essere definiti ulteriori requisiti ai fini del conferimento del titolo.</w:t>
      </w:r>
    </w:p>
    <w:p w14:paraId="6606F97A" w14:textId="77777777" w:rsidR="00A950AC" w:rsidRPr="00A950AC" w:rsidRDefault="00A950AC" w:rsidP="00A950AC">
      <w:pPr>
        <w:rPr>
          <w:b/>
          <w:bCs/>
        </w:rPr>
      </w:pPr>
      <w:r w:rsidRPr="00A950AC">
        <w:rPr>
          <w:b/>
          <w:bCs/>
        </w:rPr>
        <w:t>8) SEMPLIFICAZIONI CONSORZI UNIVERSITARI</w:t>
      </w:r>
    </w:p>
    <w:p w14:paraId="349DAA31" w14:textId="77777777" w:rsidR="00A950AC" w:rsidRPr="00A950AC" w:rsidRDefault="00A950AC" w:rsidP="00A950AC">
      <w:r w:rsidRPr="00A950AC">
        <w:t xml:space="preserve">Il DDL stabilisce anche semplificazioni per gli statuti universitari e per la procedura di riconoscimento dei </w:t>
      </w:r>
      <w:r w:rsidRPr="00A950AC">
        <w:rPr>
          <w:b/>
          <w:bCs/>
        </w:rPr>
        <w:t>Consorzi Universitari.</w:t>
      </w:r>
    </w:p>
    <w:p w14:paraId="1F96F0B8" w14:textId="77777777" w:rsidR="00A950AC" w:rsidRPr="00A950AC" w:rsidRDefault="00A950AC" w:rsidP="00A950AC">
      <w:r w:rsidRPr="00A950AC">
        <w:t xml:space="preserve">Salta invece il riconoscimento dei crediti semplificato inizialmente deciso nel DDL per gli studenti degli </w:t>
      </w:r>
      <w:r w:rsidRPr="00A950AC">
        <w:rPr>
          <w:b/>
          <w:bCs/>
        </w:rPr>
        <w:t>Istituti Tecnici Superiori (ITS)</w:t>
      </w:r>
      <w:r w:rsidRPr="00A950AC">
        <w:t xml:space="preserve">. Questo </w:t>
      </w:r>
      <w:r w:rsidRPr="00A950AC">
        <w:rPr>
          <w:b/>
          <w:bCs/>
        </w:rPr>
        <w:t>riconoscimento</w:t>
      </w:r>
      <w:r w:rsidRPr="00A950AC">
        <w:t xml:space="preserve"> doveva servire a ridurre gli ostacoli nel passaggio dall’istruzione tecnica superiore all’istruzione universitaria, fornendo agli studenti una maggiore continuità nel loro percorso educativo. Ma per adesso, tale possibilità è stata accantonata.</w:t>
      </w:r>
    </w:p>
    <w:p w14:paraId="154127DD" w14:textId="77777777" w:rsidR="00740C47" w:rsidRPr="00740C47" w:rsidRDefault="00740C47" w:rsidP="00740C47">
      <w:pPr>
        <w:rPr>
          <w:b/>
          <w:bCs/>
        </w:rPr>
      </w:pPr>
      <w:r w:rsidRPr="00740C47">
        <w:rPr>
          <w:b/>
          <w:bCs/>
        </w:rPr>
        <w:t>9) SALTA IL RITORNO DEL BONUS FIERE</w:t>
      </w:r>
    </w:p>
    <w:p w14:paraId="7FA3103D" w14:textId="77777777" w:rsidR="00740C47" w:rsidRPr="00740C47" w:rsidRDefault="00740C47" w:rsidP="00740C47">
      <w:r w:rsidRPr="00740C47">
        <w:t xml:space="preserve">Con il </w:t>
      </w:r>
      <w:r w:rsidRPr="00740C47">
        <w:rPr>
          <w:b/>
          <w:bCs/>
        </w:rPr>
        <w:t>DDL semplificazioni 2024</w:t>
      </w:r>
      <w:r w:rsidRPr="00740C47">
        <w:t xml:space="preserve"> sarebbe dovuto tornare il bonus fiere, ma nella bozza del testo, l’agevolazione è scomparsa. Niente da fare, quindi, per il voucher del valore massimo di 10.000 euro utilizzabile per partecipare a</w:t>
      </w:r>
      <w:r w:rsidRPr="00740C47">
        <w:rPr>
          <w:b/>
          <w:bCs/>
        </w:rPr>
        <w:t xml:space="preserve"> fiere organizzate in Italia. </w:t>
      </w:r>
      <w:r w:rsidRPr="00740C47">
        <w:t>La misura potrebbe essere inserita in fase di conversione e noi vi aggiorneremo.</w:t>
      </w:r>
    </w:p>
    <w:p w14:paraId="2DB2F4E3" w14:textId="77777777" w:rsidR="00740C47" w:rsidRPr="00740C47" w:rsidRDefault="00740C47" w:rsidP="00740C47">
      <w:pPr>
        <w:rPr>
          <w:b/>
          <w:bCs/>
        </w:rPr>
      </w:pPr>
      <w:r w:rsidRPr="00740C47">
        <w:rPr>
          <w:b/>
          <w:bCs/>
        </w:rPr>
        <w:t>10) CAMBIANO I DIRITTI PER LA SORDOCECITÀ</w:t>
      </w:r>
    </w:p>
    <w:p w14:paraId="456984B4" w14:textId="77777777" w:rsidR="00740C47" w:rsidRPr="00740C47" w:rsidRDefault="00740C47" w:rsidP="00740C47">
      <w:r w:rsidRPr="00740C47">
        <w:lastRenderedPageBreak/>
        <w:t>Il testo modifica la normativa in materia di riconoscimento dei</w:t>
      </w:r>
      <w:r w:rsidRPr="00740C47">
        <w:rPr>
          <w:b/>
          <w:bCs/>
        </w:rPr>
        <w:t xml:space="preserve"> diritti delle persone sordocieche,</w:t>
      </w:r>
      <w:r w:rsidRPr="00740C47">
        <w:t xml:space="preserve"> riconoscendo la condizione di sordocecità a tutti coloro che manifestano durature compromissioni totali o parziali combinate della vista e dell’udito, congenite o acquisite, a prescindere dall’età di insorgenza.</w:t>
      </w:r>
    </w:p>
    <w:p w14:paraId="083D75B2" w14:textId="77777777" w:rsidR="00740C47" w:rsidRPr="00740C47" w:rsidRDefault="00740C47" w:rsidP="00740C47">
      <w:pPr>
        <w:rPr>
          <w:b/>
          <w:bCs/>
        </w:rPr>
      </w:pPr>
      <w:r w:rsidRPr="00740C47">
        <w:rPr>
          <w:b/>
          <w:bCs/>
        </w:rPr>
        <w:t>11) NUOVE REGOLE PER LE GUIDE ALPINE</w:t>
      </w:r>
    </w:p>
    <w:p w14:paraId="38D8E9E8" w14:textId="77777777" w:rsidR="00740C47" w:rsidRPr="00740C47" w:rsidRDefault="00740C47" w:rsidP="00740C47">
      <w:r w:rsidRPr="00740C47">
        <w:t>Le guide alpine non saranno più tenute a presentare il</w:t>
      </w:r>
      <w:r w:rsidRPr="00740C47">
        <w:rPr>
          <w:b/>
          <w:bCs/>
        </w:rPr>
        <w:t xml:space="preserve"> certificato di idoneità psico-fisica</w:t>
      </w:r>
      <w:r w:rsidRPr="00740C47">
        <w:t xml:space="preserve"> e potranno ottenere l’abilitazione senza aver lavorato per dieci anni come </w:t>
      </w:r>
      <w:r w:rsidRPr="00740C47">
        <w:rPr>
          <w:i/>
          <w:iCs/>
        </w:rPr>
        <w:t>“aspiranti guide alpine”.</w:t>
      </w:r>
      <w:r w:rsidRPr="00740C47">
        <w:t xml:space="preserve"> Inoltre, per loro, l’iscrizione negli albi </w:t>
      </w:r>
      <w:r w:rsidRPr="00740C47">
        <w:rPr>
          <w:b/>
          <w:bCs/>
        </w:rPr>
        <w:t>ha validità per tre anni</w:t>
      </w:r>
      <w:r w:rsidRPr="00740C47">
        <w:t xml:space="preserve"> e il rinnovo è condizionato al soddisfacimento degli obblighi di aggiornamento professionale.</w:t>
      </w:r>
    </w:p>
    <w:p w14:paraId="7492449E" w14:textId="77777777" w:rsidR="00740C47" w:rsidRPr="00740C47" w:rsidRDefault="00740C47" w:rsidP="00740C47">
      <w:pPr>
        <w:rPr>
          <w:b/>
          <w:bCs/>
        </w:rPr>
      </w:pPr>
      <w:r w:rsidRPr="00740C47">
        <w:rPr>
          <w:b/>
          <w:bCs/>
        </w:rPr>
        <w:t>12) ARRIVA IL SISTEMA DI INTERSCAMBIO PALLET</w:t>
      </w:r>
    </w:p>
    <w:p w14:paraId="2A5F4B59" w14:textId="77777777" w:rsidR="00740C47" w:rsidRPr="00740C47" w:rsidRDefault="00740C47" w:rsidP="00740C47">
      <w:r w:rsidRPr="00740C47">
        <w:t xml:space="preserve">Arriva nel testo del </w:t>
      </w:r>
      <w:r w:rsidRPr="00740C47">
        <w:rPr>
          <w:b/>
          <w:bCs/>
        </w:rPr>
        <w:t>Disegno di legge semplificazioni 2024</w:t>
      </w:r>
      <w:r w:rsidRPr="00740C47">
        <w:t xml:space="preserve"> anche un nuovo sistema di interscambio per il pallet. Ricordiamo che il </w:t>
      </w:r>
      <w:r w:rsidRPr="00740C47">
        <w:rPr>
          <w:b/>
          <w:bCs/>
        </w:rPr>
        <w:t>pallet</w:t>
      </w:r>
      <w:r w:rsidRPr="00740C47">
        <w:t xml:space="preserve"> è una piattaforma piatta su cui vengono posizionate merci. Si tratta di un sistema fondamentale per la movimentazione e lo stoccaggio delle merci mediante l’uso di strumenti come carrelli elevatori, transpallet e simili.</w:t>
      </w:r>
    </w:p>
    <w:p w14:paraId="24DA692E" w14:textId="77777777" w:rsidR="00740C47" w:rsidRPr="00740C47" w:rsidRDefault="00740C47" w:rsidP="00740C47">
      <w:r w:rsidRPr="00740C47">
        <w:t xml:space="preserve">Il </w:t>
      </w:r>
      <w:r w:rsidRPr="00740C47">
        <w:rPr>
          <w:b/>
          <w:bCs/>
        </w:rPr>
        <w:t>nuovo sistema di interscambio</w:t>
      </w:r>
      <w:r w:rsidRPr="00740C47">
        <w:t xml:space="preserve"> di pallet si applica ai pallet standardizzati utilizzati per la produzione, lo stoccaggio, la movimentazione e il trasporto di merci nel territorio nazionale, contraddistinti da marchi registrati. Sono esclusi sono i pallet non interscambiabili e gli scambi con destinazioni estere. Il testo poi, definisce </w:t>
      </w:r>
      <w:r w:rsidRPr="00740C47">
        <w:rPr>
          <w:b/>
          <w:bCs/>
        </w:rPr>
        <w:t>diverse tipologie di pallet</w:t>
      </w:r>
      <w:r w:rsidRPr="00740C47">
        <w:t>, tra cui riutilizzabili e standardizzati, e istituisce criteri per il loro scambio.</w:t>
      </w:r>
    </w:p>
    <w:p w14:paraId="6A01C700" w14:textId="77777777" w:rsidR="00740C47" w:rsidRPr="00740C47" w:rsidRDefault="00740C47" w:rsidP="00740C47">
      <w:r w:rsidRPr="00740C47">
        <w:t xml:space="preserve">I soggetti che ricevono pallet sono tenuti a restituirne un numero uguale, con caratteristiche simili, entro determinati termini. In caso di impossibilità, devono emettere un </w:t>
      </w:r>
      <w:r w:rsidRPr="00740C47">
        <w:rPr>
          <w:b/>
          <w:bCs/>
        </w:rPr>
        <w:t>buono pallet.</w:t>
      </w:r>
      <w:r w:rsidRPr="00740C47">
        <w:t xml:space="preserve"> La mancata restituzione entro sei mesi comporta sanzioni. Saranno poi, le associazioni di categoria a elaborare delle linee guida operative.</w:t>
      </w:r>
    </w:p>
    <w:p w14:paraId="613C3B2A" w14:textId="77777777" w:rsidR="00740C47" w:rsidRPr="00740C47" w:rsidRDefault="00740C47" w:rsidP="00740C47">
      <w:pPr>
        <w:rPr>
          <w:b/>
          <w:bCs/>
        </w:rPr>
      </w:pPr>
      <w:r w:rsidRPr="00740C47">
        <w:rPr>
          <w:b/>
          <w:bCs/>
        </w:rPr>
        <w:t>13) MISURE PER IMPRESE, TURISMO E NAVIGAZIONE</w:t>
      </w:r>
    </w:p>
    <w:p w14:paraId="5EB6B73D" w14:textId="77777777" w:rsidR="00740C47" w:rsidRPr="00740C47" w:rsidRDefault="00740C47" w:rsidP="00740C47">
      <w:r w:rsidRPr="00740C47">
        <w:t>Il DDL introduce delle misure di semplificazione in favore delle attività economiche, turistiche e della navigazione per:</w:t>
      </w:r>
    </w:p>
    <w:p w14:paraId="22A0781A" w14:textId="77777777" w:rsidR="00740C47" w:rsidRPr="00740C47" w:rsidRDefault="00740C47" w:rsidP="00740C47">
      <w:pPr>
        <w:numPr>
          <w:ilvl w:val="0"/>
          <w:numId w:val="3"/>
        </w:numPr>
      </w:pPr>
      <w:r w:rsidRPr="00740C47">
        <w:rPr>
          <w:b/>
          <w:bCs/>
        </w:rPr>
        <w:t>la riduzione da 12 a 6 mesi del termine per l’esercizio dell’annullamento d’ufficio del provvedimento amministrativo;</w:t>
      </w:r>
    </w:p>
    <w:p w14:paraId="1ADB9730" w14:textId="77777777" w:rsidR="00740C47" w:rsidRPr="00740C47" w:rsidRDefault="00740C47" w:rsidP="00740C47">
      <w:pPr>
        <w:numPr>
          <w:ilvl w:val="0"/>
          <w:numId w:val="4"/>
        </w:numPr>
      </w:pPr>
      <w:r w:rsidRPr="00740C47">
        <w:rPr>
          <w:b/>
          <w:bCs/>
        </w:rPr>
        <w:t>la facoltà per i Comuni di concedere alle strutture alberghiere porzioni di strade pubbliche</w:t>
      </w:r>
      <w:r w:rsidRPr="00740C47">
        <w:t>, in via temporanea, finalizzate al parcheggio o al carico-scarico di bagagli;</w:t>
      </w:r>
    </w:p>
    <w:p w14:paraId="467C0AC5" w14:textId="77777777" w:rsidR="00740C47" w:rsidRPr="00740C47" w:rsidRDefault="00740C47" w:rsidP="00740C47">
      <w:pPr>
        <w:numPr>
          <w:ilvl w:val="0"/>
          <w:numId w:val="5"/>
        </w:numPr>
      </w:pPr>
      <w:r w:rsidRPr="00740C47">
        <w:rPr>
          <w:b/>
          <w:bCs/>
        </w:rPr>
        <w:t>l’esenzione dall’annotazione di imbarco e sbarco</w:t>
      </w:r>
      <w:r w:rsidRPr="00740C47">
        <w:t xml:space="preserve"> sul ruolo dell’equipaggio o sulla licenza qualora vi sia necessità di far ruotare il personale tra navi e galleggianti;</w:t>
      </w:r>
    </w:p>
    <w:p w14:paraId="2712A56B" w14:textId="77777777" w:rsidR="00740C47" w:rsidRPr="00740C47" w:rsidRDefault="00740C47" w:rsidP="00740C47">
      <w:pPr>
        <w:numPr>
          <w:ilvl w:val="0"/>
          <w:numId w:val="6"/>
        </w:numPr>
      </w:pPr>
      <w:r w:rsidRPr="00740C47">
        <w:rPr>
          <w:b/>
          <w:bCs/>
        </w:rPr>
        <w:t>lo snellimento dei procedimenti previsti dal Codice della navigazione</w:t>
      </w:r>
      <w:r w:rsidRPr="00740C47">
        <w:t xml:space="preserve"> per il contratto di arruolamento del comandante della nave, dei membri dell’equipaggio e del personale addetto ai servizi complementari di bordo;</w:t>
      </w:r>
    </w:p>
    <w:p w14:paraId="4617B34C" w14:textId="77777777" w:rsidR="00740C47" w:rsidRPr="00740C47" w:rsidRDefault="00740C47" w:rsidP="00740C47">
      <w:pPr>
        <w:numPr>
          <w:ilvl w:val="0"/>
          <w:numId w:val="7"/>
        </w:numPr>
      </w:pPr>
      <w:r w:rsidRPr="00740C47">
        <w:rPr>
          <w:b/>
          <w:bCs/>
        </w:rPr>
        <w:t>la semplificazione delle disposizioni in materia di rilascio del nulla osta al lavoro;</w:t>
      </w:r>
    </w:p>
    <w:p w14:paraId="1E725BD6" w14:textId="77777777" w:rsidR="00740C47" w:rsidRPr="00740C47" w:rsidRDefault="00740C47" w:rsidP="00740C47">
      <w:pPr>
        <w:numPr>
          <w:ilvl w:val="0"/>
          <w:numId w:val="8"/>
        </w:numPr>
      </w:pPr>
      <w:r w:rsidRPr="00740C47">
        <w:rPr>
          <w:b/>
          <w:bCs/>
        </w:rPr>
        <w:t>l’eliminazione delle criticità delle norme fiscali volte a favorire la fusione tra fondazioni,</w:t>
      </w:r>
      <w:r w:rsidRPr="00740C47">
        <w:t xml:space="preserve"> stabilendo che il criterio per l’assegnazione del credito di imposta per gli anni agevolati sia l’ordine temporale di stipula dell’atto pubblico di fusione.</w:t>
      </w:r>
    </w:p>
    <w:p w14:paraId="2439D079" w14:textId="77777777" w:rsidR="00740C47" w:rsidRPr="00740C47" w:rsidRDefault="00740C47" w:rsidP="00740C47">
      <w:pPr>
        <w:rPr>
          <w:b/>
          <w:bCs/>
        </w:rPr>
      </w:pPr>
      <w:r w:rsidRPr="00740C47">
        <w:rPr>
          <w:b/>
          <w:bCs/>
        </w:rPr>
        <w:t>14) NASCONO LE FARMACIE DEI SERVIZI</w:t>
      </w:r>
    </w:p>
    <w:p w14:paraId="58FF807B" w14:textId="77777777" w:rsidR="00740C47" w:rsidRPr="00740C47" w:rsidRDefault="00740C47" w:rsidP="00740C47">
      <w:r w:rsidRPr="00740C47">
        <w:t xml:space="preserve">Il </w:t>
      </w:r>
      <w:r w:rsidRPr="00740C47">
        <w:rPr>
          <w:b/>
          <w:bCs/>
        </w:rPr>
        <w:t>DDL semplificazione 2024</w:t>
      </w:r>
      <w:r w:rsidRPr="00740C47">
        <w:t xml:space="preserve"> prevede l’erogazione in farmacia di prestazioni del Servizio sanitario nazionale, anche in locali separati da quelli ove è ubicata la farmacia riportanti la denominazione di </w:t>
      </w:r>
      <w:r w:rsidRPr="00740C47">
        <w:rPr>
          <w:b/>
          <w:bCs/>
        </w:rPr>
        <w:t>“farmacia dei servizi”,</w:t>
      </w:r>
      <w:r w:rsidRPr="00740C47">
        <w:t xml:space="preserve"> quali:</w:t>
      </w:r>
    </w:p>
    <w:p w14:paraId="5CF0D64F" w14:textId="77777777" w:rsidR="00740C47" w:rsidRPr="00740C47" w:rsidRDefault="00740C47" w:rsidP="00740C47">
      <w:pPr>
        <w:numPr>
          <w:ilvl w:val="0"/>
          <w:numId w:val="9"/>
        </w:numPr>
      </w:pPr>
      <w:r w:rsidRPr="00740C47">
        <w:rPr>
          <w:b/>
          <w:bCs/>
        </w:rPr>
        <w:t>la dispensazione di dispositivi medici necessari al trattamento dei pazienti</w:t>
      </w:r>
      <w:r w:rsidRPr="00740C47">
        <w:t xml:space="preserve"> in assistenza domiciliare, residenziale e semiresidenziale;</w:t>
      </w:r>
    </w:p>
    <w:p w14:paraId="0F8307F8" w14:textId="77777777" w:rsidR="00740C47" w:rsidRPr="00740C47" w:rsidRDefault="00740C47" w:rsidP="00740C47">
      <w:pPr>
        <w:numPr>
          <w:ilvl w:val="0"/>
          <w:numId w:val="10"/>
        </w:numPr>
      </w:pPr>
      <w:r w:rsidRPr="00740C47">
        <w:rPr>
          <w:b/>
          <w:bCs/>
        </w:rPr>
        <w:t>prestazioni analitiche di prima istanza</w:t>
      </w:r>
      <w:r w:rsidRPr="00740C47">
        <w:t xml:space="preserve"> (test per glicemia, emoglobina, urine, etc.) non più limitate all’autocontrollo;</w:t>
      </w:r>
    </w:p>
    <w:p w14:paraId="08F0B9FF" w14:textId="77777777" w:rsidR="00740C47" w:rsidRPr="00740C47" w:rsidRDefault="00740C47" w:rsidP="00740C47">
      <w:pPr>
        <w:numPr>
          <w:ilvl w:val="0"/>
          <w:numId w:val="11"/>
        </w:numPr>
      </w:pPr>
      <w:r w:rsidRPr="00740C47">
        <w:rPr>
          <w:b/>
          <w:bCs/>
        </w:rPr>
        <w:lastRenderedPageBreak/>
        <w:t>la possibilità che i farmacisti, appositamente formati, possano somministrare tutti i vaccini individuati dal Piano nazionale di prevenzione vaccinale</w:t>
      </w:r>
      <w:r w:rsidRPr="00740C47">
        <w:t xml:space="preserve"> nei confronti dei soggetti di età non inferiore a dodici anni;</w:t>
      </w:r>
    </w:p>
    <w:p w14:paraId="4ECB99C0" w14:textId="77777777" w:rsidR="00740C47" w:rsidRPr="00740C47" w:rsidRDefault="00740C47" w:rsidP="00740C47">
      <w:pPr>
        <w:numPr>
          <w:ilvl w:val="0"/>
          <w:numId w:val="12"/>
        </w:numPr>
      </w:pPr>
      <w:r w:rsidRPr="00740C47">
        <w:rPr>
          <w:b/>
          <w:bCs/>
        </w:rPr>
        <w:t>la possibilità di effettuare i test diagnostici</w:t>
      </w:r>
      <w:r w:rsidRPr="00740C47">
        <w:t xml:space="preserve"> per il contrasto all’antibiotico-resistenza, a supporto del medico di medicina generale e del pediatra di libera scelta;</w:t>
      </w:r>
    </w:p>
    <w:p w14:paraId="7E051B7F" w14:textId="77777777" w:rsidR="00740C47" w:rsidRPr="00740C47" w:rsidRDefault="00740C47" w:rsidP="00740C47">
      <w:pPr>
        <w:numPr>
          <w:ilvl w:val="0"/>
          <w:numId w:val="13"/>
        </w:numPr>
      </w:pPr>
      <w:r w:rsidRPr="00740C47">
        <w:rPr>
          <w:b/>
          <w:bCs/>
        </w:rPr>
        <w:t>la possibilità di scegliere il medico di medicina generale e il pediatra di libera scelta</w:t>
      </w:r>
      <w:r w:rsidRPr="00740C47">
        <w:t xml:space="preserve"> tra quelli convenzionati con Servizio sanitario regionale.</w:t>
      </w:r>
    </w:p>
    <w:p w14:paraId="24FCC5A8" w14:textId="77777777" w:rsidR="00740C47" w:rsidRPr="00740C47" w:rsidRDefault="00740C47" w:rsidP="00740C47">
      <w:r w:rsidRPr="00740C47">
        <w:t>Due o più farmacie, di proprietà di soggetti differenti, possono esercitare in comune i servizi sanitari, previa stipula del contratto di rete.</w:t>
      </w:r>
    </w:p>
    <w:p w14:paraId="103794E0" w14:textId="77777777" w:rsidR="00740C47" w:rsidRPr="00740C47" w:rsidRDefault="00740C47" w:rsidP="00740C47">
      <w:pPr>
        <w:rPr>
          <w:b/>
          <w:bCs/>
        </w:rPr>
      </w:pPr>
      <w:r w:rsidRPr="00740C47">
        <w:rPr>
          <w:b/>
          <w:bCs/>
        </w:rPr>
        <w:t>15) SEMPLIFICAZIONI PER I CITTADINI</w:t>
      </w:r>
    </w:p>
    <w:p w14:paraId="3F571CDB" w14:textId="77777777" w:rsidR="00740C47" w:rsidRPr="00740C47" w:rsidRDefault="00740C47" w:rsidP="00740C47">
      <w:r w:rsidRPr="00740C47">
        <w:t>Il Disegno di Legge poi, snellisce le norme e i procedimenti in materia di:</w:t>
      </w:r>
    </w:p>
    <w:p w14:paraId="28AD5E8E" w14:textId="77777777" w:rsidR="00740C47" w:rsidRDefault="00740C47" w:rsidP="00740C47">
      <w:r>
        <w:t>•</w:t>
      </w:r>
      <w:r>
        <w:tab/>
        <w:t>circolazione giuridica dei beni provenienti da donazioni;</w:t>
      </w:r>
    </w:p>
    <w:p w14:paraId="16BD4B7B" w14:textId="77777777" w:rsidR="00740C47" w:rsidRDefault="00740C47" w:rsidP="00740C47">
      <w:r>
        <w:t>•</w:t>
      </w:r>
      <w:r>
        <w:tab/>
        <w:t>traduzioni giurate;</w:t>
      </w:r>
    </w:p>
    <w:p w14:paraId="77F563BB" w14:textId="58BF0BC9" w:rsidR="00740C47" w:rsidRDefault="00740C47" w:rsidP="00740C47">
      <w:r>
        <w:t>•</w:t>
      </w:r>
      <w:r>
        <w:tab/>
        <w:t>permesso di costruire su immobili vincolati</w:t>
      </w:r>
    </w:p>
    <w:p w14:paraId="1BFFFFE9" w14:textId="77777777" w:rsidR="00740C47" w:rsidRDefault="00740C47" w:rsidP="00740C47">
      <w:r>
        <w:t>•</w:t>
      </w:r>
      <w:r>
        <w:tab/>
        <w:t>rilascio autorizzazioni all’inumazione, alla tumulazione, alla cremazione e all’affido o dispersione delle ceneri;</w:t>
      </w:r>
    </w:p>
    <w:p w14:paraId="560EE8DB" w14:textId="4BFF724F" w:rsidR="00F10154" w:rsidRPr="00F10154" w:rsidRDefault="00740C47" w:rsidP="00740C47">
      <w:r>
        <w:t>•</w:t>
      </w:r>
      <w:r>
        <w:tab/>
        <w:t>dichiarazione di assenza e morte presunta, dimezzando i termini per la dichiarazione del relativo status.</w:t>
      </w:r>
    </w:p>
    <w:p w14:paraId="29C26AE2" w14:textId="383EC22E" w:rsidR="00BF6216" w:rsidRPr="00740C47" w:rsidRDefault="00740C47" w:rsidP="00BF6216">
      <w:pPr>
        <w:rPr>
          <w:b/>
          <w:bCs/>
          <w:i/>
          <w:iCs/>
        </w:rPr>
      </w:pPr>
      <w:r w:rsidRPr="00740C47">
        <w:rPr>
          <w:b/>
          <w:bCs/>
          <w:i/>
          <w:iCs/>
        </w:rPr>
        <w:t xml:space="preserve">Ricordiamo che le regole introdotte dal DDL entreranno in vigore solo dopo l’approvazione del testo da parte del </w:t>
      </w:r>
      <w:proofErr w:type="gramStart"/>
      <w:r w:rsidRPr="00740C47">
        <w:rPr>
          <w:b/>
          <w:bCs/>
          <w:i/>
          <w:iCs/>
        </w:rPr>
        <w:t>Consiglio dei Ministri</w:t>
      </w:r>
      <w:proofErr w:type="gramEnd"/>
      <w:r w:rsidRPr="00740C47">
        <w:rPr>
          <w:b/>
          <w:bCs/>
          <w:i/>
          <w:iCs/>
        </w:rPr>
        <w:t xml:space="preserve"> e la sua pubblicazione in Gazzetta Ufficiale.</w:t>
      </w:r>
    </w:p>
    <w:p w14:paraId="6D28D304" w14:textId="77777777" w:rsidR="00740C47" w:rsidRDefault="00740C47" w:rsidP="00BF6216"/>
    <w:sectPr w:rsidR="0074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6E79"/>
    <w:multiLevelType w:val="multilevel"/>
    <w:tmpl w:val="D0B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A6EE7"/>
    <w:multiLevelType w:val="multilevel"/>
    <w:tmpl w:val="ABE2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A0A47"/>
    <w:multiLevelType w:val="multilevel"/>
    <w:tmpl w:val="EF8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543CC2"/>
    <w:multiLevelType w:val="multilevel"/>
    <w:tmpl w:val="463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FE0C22"/>
    <w:multiLevelType w:val="multilevel"/>
    <w:tmpl w:val="549E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4727D"/>
    <w:multiLevelType w:val="multilevel"/>
    <w:tmpl w:val="DA62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1B4EFF"/>
    <w:multiLevelType w:val="multilevel"/>
    <w:tmpl w:val="9BF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F91FCB"/>
    <w:multiLevelType w:val="multilevel"/>
    <w:tmpl w:val="DD38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911651"/>
    <w:multiLevelType w:val="multilevel"/>
    <w:tmpl w:val="B0D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CD4BD3"/>
    <w:multiLevelType w:val="multilevel"/>
    <w:tmpl w:val="4DC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947DD4"/>
    <w:multiLevelType w:val="multilevel"/>
    <w:tmpl w:val="0380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93176C"/>
    <w:multiLevelType w:val="multilevel"/>
    <w:tmpl w:val="59B4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E24898"/>
    <w:multiLevelType w:val="multilevel"/>
    <w:tmpl w:val="654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AF5A73"/>
    <w:multiLevelType w:val="multilevel"/>
    <w:tmpl w:val="93F2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682106"/>
    <w:multiLevelType w:val="multilevel"/>
    <w:tmpl w:val="18D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772E8E"/>
    <w:multiLevelType w:val="multilevel"/>
    <w:tmpl w:val="832C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4B4F21"/>
    <w:multiLevelType w:val="multilevel"/>
    <w:tmpl w:val="B9BC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192D92"/>
    <w:multiLevelType w:val="multilevel"/>
    <w:tmpl w:val="0D4A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7032339">
    <w:abstractNumId w:val="1"/>
  </w:num>
  <w:num w:numId="2" w16cid:durableId="1082263526">
    <w:abstractNumId w:val="5"/>
  </w:num>
  <w:num w:numId="3" w16cid:durableId="555434720">
    <w:abstractNumId w:val="6"/>
  </w:num>
  <w:num w:numId="4" w16cid:durableId="243271781">
    <w:abstractNumId w:val="14"/>
  </w:num>
  <w:num w:numId="5" w16cid:durableId="1652447122">
    <w:abstractNumId w:val="2"/>
  </w:num>
  <w:num w:numId="6" w16cid:durableId="43603862">
    <w:abstractNumId w:val="9"/>
  </w:num>
  <w:num w:numId="7" w16cid:durableId="876702241">
    <w:abstractNumId w:val="13"/>
  </w:num>
  <w:num w:numId="8" w16cid:durableId="840776015">
    <w:abstractNumId w:val="10"/>
  </w:num>
  <w:num w:numId="9" w16cid:durableId="1230844098">
    <w:abstractNumId w:val="11"/>
  </w:num>
  <w:num w:numId="10" w16cid:durableId="253783602">
    <w:abstractNumId w:val="8"/>
  </w:num>
  <w:num w:numId="11" w16cid:durableId="77606664">
    <w:abstractNumId w:val="7"/>
  </w:num>
  <w:num w:numId="12" w16cid:durableId="775446099">
    <w:abstractNumId w:val="0"/>
  </w:num>
  <w:num w:numId="13" w16cid:durableId="954750750">
    <w:abstractNumId w:val="15"/>
  </w:num>
  <w:num w:numId="14" w16cid:durableId="1386029371">
    <w:abstractNumId w:val="12"/>
  </w:num>
  <w:num w:numId="15" w16cid:durableId="2006280328">
    <w:abstractNumId w:val="16"/>
  </w:num>
  <w:num w:numId="16" w16cid:durableId="913588669">
    <w:abstractNumId w:val="17"/>
  </w:num>
  <w:num w:numId="17" w16cid:durableId="890457791">
    <w:abstractNumId w:val="3"/>
  </w:num>
  <w:num w:numId="18" w16cid:durableId="2072389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16"/>
    <w:rsid w:val="000C5267"/>
    <w:rsid w:val="00361A79"/>
    <w:rsid w:val="00383E76"/>
    <w:rsid w:val="00740C47"/>
    <w:rsid w:val="00A950AC"/>
    <w:rsid w:val="00BF6216"/>
    <w:rsid w:val="00EB5E9A"/>
    <w:rsid w:val="00F1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A928"/>
  <w15:chartTrackingRefBased/>
  <w15:docId w15:val="{884A0D37-EB9C-4D89-A858-79BF69B0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6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6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6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6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2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62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62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62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6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6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6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62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62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2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62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62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62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6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62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6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62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62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62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62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6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62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621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F621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8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98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2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onsiglio.com/conferma-docenti-sostegno-precari-su-richiesta-famiglie-decreto-scuo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consiglio.com/niente-stop-call-veloce-docenti-ddl-semplificazio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consiglio.com/concorsi-scuola-bandi-docenti/" TargetMode="External"/><Relationship Id="rId5" Type="http://schemas.openxmlformats.org/officeDocument/2006/relationships/hyperlink" Target="https://www.ticonsiglio.com/call-veloce-docen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1984</Words>
  <Characters>11314</Characters>
  <Application>Microsoft Office Word</Application>
  <DocSecurity>0</DocSecurity>
  <Lines>94</Lines>
  <Paragraphs>26</Paragraphs>
  <ScaleCrop>false</ScaleCrop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6</cp:revision>
  <dcterms:created xsi:type="dcterms:W3CDTF">2025-06-27T10:33:00Z</dcterms:created>
  <dcterms:modified xsi:type="dcterms:W3CDTF">2025-06-27T10:48:00Z</dcterms:modified>
</cp:coreProperties>
</file>